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theme/theme1.xml" ContentType="application/vnd.openxmlformats-officedocument.theme+xml"/>
  <Override PartName="/word/footer4.xml" ContentType="application/vnd.openxmlformats-officedocument.wordprocessingml.footer+xml"/>
  <Override PartName="/word/settings.xml" ContentType="application/vnd.openxmlformats-officedocument.wordprocessingml.setting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Title"/>
        <w:jc w:val="both"/>
        <w:rPr>
          <w:rFonts w:ascii="Calibri" w:hAnsi="Calibri" w:cs="Times New Roman"/>
          <w:w w:val="95"/>
          <w:sz w:val="28"/>
          <w:szCs w:val="28"/>
          <w:lang w:val="de-DE"/>
        </w:rPr>
      </w:pPr>
      <w:r>
        <w:rPr>
          <w:rFonts w:cs="Times New Roman" w:ascii="Calibri" w:hAnsi="Calibri"/>
          <w:w w:val="95"/>
          <w:sz w:val="28"/>
          <w:szCs w:val="28"/>
          <w:lang w:val="de-DE"/>
        </w:rPr>
      </w:r>
    </w:p>
    <w:p>
      <w:pPr>
        <w:pStyle w:val="Normal"/>
        <w:jc w:val="both"/>
        <w:rPr>
          <w:rFonts w:ascii="Calibri" w:hAnsi="Calibri" w:cs="Times New Roman"/>
          <w:w w:val="95"/>
          <w:sz w:val="28"/>
          <w:szCs w:val="28"/>
          <w:lang w:val="de-DE"/>
        </w:rPr>
      </w:pPr>
      <w:r>
        <w:rPr>
          <w:rFonts w:cs="Times New Roman" w:ascii="Calibri" w:hAnsi="Calibri"/>
          <w:w w:val="95"/>
          <w:sz w:val="28"/>
          <w:szCs w:val="28"/>
          <w:lang w:val="de-DE"/>
        </w:rPr>
        <w:drawing>
          <wp:anchor behindDoc="0" distT="0" distB="0" distL="0" distR="0" simplePos="0" locked="0" layoutInCell="0" allowOverlap="1" relativeHeight="2">
            <wp:simplePos x="0" y="0"/>
            <wp:positionH relativeFrom="column">
              <wp:posOffset>-287020</wp:posOffset>
            </wp:positionH>
            <wp:positionV relativeFrom="paragraph">
              <wp:posOffset>191770</wp:posOffset>
            </wp:positionV>
            <wp:extent cx="2302510" cy="695325"/>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20" t="-397" r="-120" b="-397"/>
                    <a:stretch>
                      <a:fillRect/>
                    </a:stretch>
                  </pic:blipFill>
                  <pic:spPr bwMode="auto">
                    <a:xfrm>
                      <a:off x="0" y="0"/>
                      <a:ext cx="2302510" cy="695325"/>
                    </a:xfrm>
                    <a:prstGeom prst="rect">
                      <a:avLst/>
                    </a:prstGeom>
                  </pic:spPr>
                </pic:pic>
              </a:graphicData>
            </a:graphic>
          </wp:anchor>
        </w:drawing>
      </w:r>
    </w:p>
    <w:p>
      <w:pPr>
        <w:pStyle w:val="Normal"/>
        <w:jc w:val="both"/>
        <w:rPr>
          <w:rFonts w:ascii="Calibri" w:hAnsi="Calibri" w:cs="Times New Roman"/>
          <w:w w:val="95"/>
          <w:sz w:val="28"/>
          <w:szCs w:val="28"/>
          <w:lang w:val="de-DE"/>
        </w:rPr>
      </w:pPr>
      <w:r>
        <w:rPr>
          <w:rFonts w:cs="Times New Roman" w:ascii="Calibri" w:hAnsi="Calibri"/>
          <w:w w:val="95"/>
          <w:sz w:val="28"/>
          <w:szCs w:val="28"/>
          <w:lang w:val="de-DE"/>
        </w:rPr>
      </w:r>
    </w:p>
    <w:p>
      <w:pPr>
        <w:pStyle w:val="Normal"/>
        <w:jc w:val="both"/>
        <w:rPr>
          <w:rFonts w:ascii="Calibri" w:hAnsi="Calibri" w:cs="Times New Roman"/>
          <w:w w:val="95"/>
          <w:sz w:val="28"/>
          <w:szCs w:val="28"/>
          <w:lang w:val="de-DE"/>
        </w:rPr>
      </w:pPr>
      <w:r>
        <w:rPr>
          <w:rFonts w:cs="Times New Roman" w:ascii="Calibri" w:hAnsi="Calibri"/>
          <w:w w:val="95"/>
          <w:sz w:val="28"/>
          <w:szCs w:val="28"/>
          <w:lang w:val="de-DE"/>
        </w:rPr>
      </w:r>
    </w:p>
    <w:p>
      <w:pPr>
        <w:pStyle w:val="Title"/>
        <w:jc w:val="center"/>
        <w:rPr>
          <w:rFonts w:ascii="Calibri" w:hAnsi="Calibri"/>
        </w:rPr>
      </w:pPr>
      <w:r>
        <w:rPr>
          <w:rFonts w:cs="Times New Roman" w:ascii="Calibri" w:hAnsi="Calibri"/>
          <w:color w:val="5983B0"/>
          <w:w w:val="95"/>
          <w:sz w:val="32"/>
          <w:szCs w:val="32"/>
          <w:lang w:val="de-DE"/>
        </w:rPr>
        <w:t>Univerzitet  Crne Gore</w:t>
      </w:r>
    </w:p>
    <w:p>
      <w:pPr>
        <w:pStyle w:val="Title"/>
        <w:jc w:val="center"/>
        <w:rPr>
          <w:rFonts w:ascii="Calibri" w:hAnsi="Calibri"/>
        </w:rPr>
      </w:pPr>
      <w:r>
        <w:rPr>
          <w:rFonts w:cs="Times New Roman" w:ascii="Calibri" w:hAnsi="Calibri"/>
          <w:color w:val="5983B0"/>
          <w:w w:val="95"/>
          <w:sz w:val="32"/>
          <w:szCs w:val="32"/>
          <w:lang w:val="de-DE"/>
        </w:rPr>
        <w:t>Filozovski fakultet</w:t>
      </w:r>
    </w:p>
    <w:p>
      <w:pPr>
        <w:pStyle w:val="Normal"/>
        <w:jc w:val="center"/>
        <w:rPr>
          <w:rFonts w:ascii="Calibri" w:hAnsi="Calibri"/>
        </w:rPr>
      </w:pPr>
      <w:r>
        <w:rPr>
          <w:rFonts w:cs="Times New Roman" w:ascii="Calibri" w:hAnsi="Calibri"/>
          <w:color w:val="5983B0"/>
          <w:w w:val="95"/>
          <w:sz w:val="32"/>
          <w:szCs w:val="32"/>
          <w:lang w:val="de-DE"/>
        </w:rPr>
        <w:t>GEOGRAFIJA</w:t>
      </w:r>
    </w:p>
    <w:p>
      <w:pPr>
        <w:pStyle w:val="Title"/>
        <w:jc w:val="center"/>
        <w:rPr>
          <w:rFonts w:ascii="Calibri" w:hAnsi="Calibri" w:cs="Times New Roman"/>
          <w:b/>
          <w:color w:val="5983B0"/>
          <w:sz w:val="28"/>
          <w:szCs w:val="28"/>
          <w:lang w:val="de-DE"/>
        </w:rPr>
      </w:pPr>
      <w:r>
        <w:rPr>
          <w:rFonts w:cs="Times New Roman" w:ascii="Calibri" w:hAnsi="Calibri"/>
          <w:b/>
          <w:color w:val="5983B0"/>
          <w:sz w:val="28"/>
          <w:szCs w:val="28"/>
          <w:lang w:val="de-DE"/>
        </w:rPr>
      </w:r>
    </w:p>
    <w:p>
      <w:pPr>
        <w:pStyle w:val="BodyText"/>
        <w:spacing w:lineRule="auto" w:line="240"/>
        <w:jc w:val="both"/>
        <w:rPr>
          <w:rFonts w:ascii="Calibri" w:hAnsi="Calibri" w:cs="Times New Roman"/>
          <w:sz w:val="28"/>
          <w:szCs w:val="28"/>
          <w:lang w:val="de-DE"/>
        </w:rPr>
      </w:pPr>
      <w:r>
        <w:rPr>
          <w:rFonts w:cs="Times New Roman" w:ascii="Calibri" w:hAnsi="Calibri"/>
          <w:sz w:val="28"/>
          <w:szCs w:val="28"/>
          <w:lang w:val="de-DE"/>
        </w:rPr>
      </w:r>
    </w:p>
    <w:p>
      <w:pPr>
        <w:pStyle w:val="Normal"/>
        <w:jc w:val="center"/>
        <w:rPr>
          <w:rFonts w:ascii="Calibri" w:hAnsi="Calibri"/>
        </w:rPr>
      </w:pPr>
      <w:r>
        <w:rPr>
          <w:rFonts w:cs="Times New Roman" w:ascii="Calibri" w:hAnsi="Calibri"/>
          <w:color w:val="5983B0"/>
          <w:sz w:val="28"/>
          <w:szCs w:val="28"/>
          <w:lang w:val="de-DE"/>
        </w:rPr>
        <w:t>Predmet : Turistička valorizacija</w:t>
      </w:r>
    </w:p>
    <w:p>
      <w:pPr>
        <w:pStyle w:val="Title"/>
        <w:jc w:val="center"/>
        <w:rPr>
          <w:rFonts w:ascii="Calibri" w:hAnsi="Calibri" w:cs="Times New Roman"/>
          <w:sz w:val="28"/>
          <w:szCs w:val="28"/>
          <w:lang w:val="de-DE"/>
        </w:rPr>
      </w:pPr>
      <w:r>
        <w:rPr>
          <w:rFonts w:cs="Times New Roman" w:ascii="Calibri" w:hAnsi="Calibri"/>
          <w:sz w:val="28"/>
          <w:szCs w:val="28"/>
          <w:lang w:val="de-DE"/>
        </w:rPr>
      </w:r>
    </w:p>
    <w:p>
      <w:pPr>
        <w:pStyle w:val="Title"/>
        <w:jc w:val="center"/>
        <w:rPr>
          <w:rFonts w:ascii="Calibri" w:hAnsi="Calibri"/>
        </w:rPr>
      </w:pPr>
      <w:r>
        <w:rPr>
          <w:rFonts w:cs="Times New Roman" w:ascii="Calibri" w:hAnsi="Calibri"/>
          <w:color w:val="5983B0"/>
          <w:sz w:val="28"/>
          <w:szCs w:val="28"/>
          <w:lang w:val="de-DE"/>
        </w:rPr>
        <w:t xml:space="preserve">Seminarski  rad </w:t>
      </w:r>
    </w:p>
    <w:p>
      <w:pPr>
        <w:pStyle w:val="Title"/>
        <w:jc w:val="center"/>
        <w:rPr>
          <w:rFonts w:ascii="Calibri" w:hAnsi="Calibri" w:cs="Times New Roman"/>
          <w:color w:val="5983B0"/>
          <w:sz w:val="28"/>
          <w:szCs w:val="28"/>
          <w:lang w:val="de-DE"/>
        </w:rPr>
      </w:pPr>
      <w:r>
        <w:rPr>
          <w:rFonts w:cs="Times New Roman" w:ascii="Calibri" w:hAnsi="Calibri"/>
          <w:color w:val="5983B0"/>
          <w:sz w:val="28"/>
          <w:szCs w:val="28"/>
          <w:lang w:val="de-DE"/>
        </w:rPr>
      </w:r>
    </w:p>
    <w:p>
      <w:pPr>
        <w:pStyle w:val="Normal"/>
        <w:jc w:val="both"/>
        <w:rPr>
          <w:rFonts w:ascii="Calibri" w:hAnsi="Calibri" w:cs="Times New Roman"/>
          <w:sz w:val="28"/>
          <w:szCs w:val="28"/>
          <w:lang w:val="de-DE"/>
        </w:rPr>
      </w:pPr>
      <w:r>
        <w:rPr>
          <w:rFonts w:cs="Times New Roman" w:ascii="Calibri" w:hAnsi="Calibri"/>
          <w:sz w:val="28"/>
          <w:szCs w:val="28"/>
          <w:lang w:val="de-DE"/>
        </w:rPr>
      </w:r>
    </w:p>
    <w:p>
      <w:pPr>
        <w:pStyle w:val="Normal"/>
        <w:jc w:val="both"/>
        <w:rPr>
          <w:rFonts w:ascii="Calibri" w:hAnsi="Calibri" w:cs="Times New Roman"/>
          <w:sz w:val="28"/>
          <w:szCs w:val="28"/>
          <w:lang w:val="de-DE"/>
        </w:rPr>
      </w:pPr>
      <w:r>
        <w:rPr>
          <w:rFonts w:cs="Times New Roman" w:ascii="Calibri" w:hAnsi="Calibri"/>
          <w:sz w:val="28"/>
          <w:szCs w:val="28"/>
          <w:lang w:val="de-DE"/>
        </w:rPr>
      </w:r>
    </w:p>
    <w:p>
      <w:pPr>
        <w:pStyle w:val="Normal"/>
        <w:jc w:val="center"/>
        <w:rPr>
          <w:rFonts w:ascii="Calibri" w:hAnsi="Calibri"/>
        </w:rPr>
      </w:pPr>
      <w:r>
        <w:rPr>
          <w:rFonts w:cs="Times New Roman" w:ascii="Calibri" w:hAnsi="Calibri"/>
          <w:color w:val="5983B0"/>
          <w:sz w:val="28"/>
          <w:szCs w:val="28"/>
          <w:lang w:val="de-DE"/>
        </w:rPr>
        <w:t>Turistička valorizacija  objekata geo-nasledja,</w:t>
      </w:r>
    </w:p>
    <w:p>
      <w:pPr>
        <w:pStyle w:val="Normal"/>
        <w:jc w:val="center"/>
        <w:rPr>
          <w:rFonts w:ascii="Calibri" w:hAnsi="Calibri"/>
        </w:rPr>
      </w:pPr>
      <w:r>
        <w:rPr>
          <w:rFonts w:cs="Times New Roman" w:ascii="Calibri" w:hAnsi="Calibri"/>
          <w:color w:val="5983B0"/>
          <w:sz w:val="28"/>
          <w:szCs w:val="28"/>
          <w:lang w:val="de-DE"/>
        </w:rPr>
        <w:t xml:space="preserve">sjever i sjevero-istočna regija Crne Gore </w:t>
      </w:r>
    </w:p>
    <w:p>
      <w:pPr>
        <w:pStyle w:val="Normal"/>
        <w:bidi w:val="0"/>
        <w:jc w:val="center"/>
        <w:rPr>
          <w:rFonts w:ascii="Calibri" w:hAnsi="Calibri"/>
        </w:rPr>
      </w:pPr>
      <w:r>
        <w:rPr>
          <w:rFonts w:ascii="Calibri" w:hAnsi="Calibri"/>
        </w:rPr>
      </w:r>
    </w:p>
    <w:p>
      <w:pPr>
        <w:pStyle w:val="Normal"/>
        <w:jc w:val="center"/>
        <w:rPr>
          <w:rFonts w:ascii="Calibri" w:hAnsi="Calibri"/>
        </w:rPr>
      </w:pPr>
      <w:r>
        <w:rPr>
          <w:rFonts w:ascii="Calibri" w:hAnsi="Calibri"/>
        </w:rPr>
      </w:r>
    </w:p>
    <w:p>
      <w:pPr>
        <w:pStyle w:val="Title"/>
        <w:jc w:val="both"/>
        <w:rPr>
          <w:rFonts w:ascii="Calibri" w:hAnsi="Calibri" w:cs="Times New Roman"/>
          <w:color w:val="5983B0"/>
          <w:sz w:val="28"/>
          <w:szCs w:val="28"/>
          <w:lang w:val="de-DE"/>
        </w:rPr>
      </w:pPr>
      <w:r>
        <w:rPr>
          <w:rFonts w:cs="Times New Roman" w:ascii="Calibri" w:hAnsi="Calibri"/>
          <w:color w:val="5983B0"/>
          <w:sz w:val="28"/>
          <w:szCs w:val="28"/>
          <w:lang w:val="de-DE"/>
        </w:rPr>
      </w:r>
    </w:p>
    <w:p>
      <w:pPr>
        <w:pStyle w:val="Normal"/>
        <w:jc w:val="both"/>
        <w:rPr>
          <w:rFonts w:ascii="Calibri" w:hAnsi="Calibri" w:cs="Times New Roman"/>
          <w:b/>
          <w:color w:val="5983B0"/>
          <w:sz w:val="28"/>
          <w:szCs w:val="28"/>
          <w:lang w:val="de-DE"/>
        </w:rPr>
      </w:pPr>
      <w:r>
        <w:rPr>
          <w:rFonts w:cs="Times New Roman" w:ascii="Calibri" w:hAnsi="Calibri"/>
          <w:b/>
          <w:color w:val="5983B0"/>
          <w:sz w:val="28"/>
          <w:szCs w:val="28"/>
          <w:lang w:val="de-DE"/>
        </w:rPr>
      </w:r>
    </w:p>
    <w:p>
      <w:pPr>
        <w:pStyle w:val="Normal"/>
        <w:jc w:val="both"/>
        <w:rPr>
          <w:rFonts w:ascii="Calibri" w:hAnsi="Calibri" w:cs="Times New Roman"/>
          <w:b/>
          <w:color w:val="5983B0"/>
          <w:sz w:val="28"/>
          <w:szCs w:val="28"/>
          <w:lang w:val="de-DE"/>
        </w:rPr>
      </w:pPr>
      <w:r>
        <w:rPr>
          <w:rFonts w:cs="Times New Roman" w:ascii="Calibri" w:hAnsi="Calibri"/>
          <w:b/>
          <w:color w:val="5983B0"/>
          <w:sz w:val="28"/>
          <w:szCs w:val="28"/>
          <w:lang w:val="de-DE"/>
        </w:rPr>
      </w:r>
    </w:p>
    <w:p>
      <w:pPr>
        <w:pStyle w:val="Title"/>
        <w:jc w:val="both"/>
        <w:rPr>
          <w:rFonts w:ascii="Calibri" w:hAnsi="Calibri" w:cs="Times New Roman"/>
          <w:sz w:val="28"/>
          <w:szCs w:val="28"/>
        </w:rPr>
      </w:pPr>
      <w:r>
        <w:rPr>
          <w:rFonts w:cs="Times New Roman" w:ascii="Calibri" w:hAnsi="Calibri"/>
          <w:sz w:val="28"/>
          <w:szCs w:val="28"/>
        </w:rPr>
      </w:r>
    </w:p>
    <w:p>
      <w:pPr>
        <w:pStyle w:val="Title"/>
        <w:jc w:val="both"/>
        <w:rPr>
          <w:rFonts w:ascii="Calibri" w:hAnsi="Calibri"/>
        </w:rPr>
      </w:pPr>
      <w:r>
        <w:rPr>
          <w:rFonts w:cs="Times New Roman" w:ascii="Calibri" w:hAnsi="Calibri"/>
          <w:color w:val="5983B0"/>
          <w:sz w:val="28"/>
          <w:szCs w:val="28"/>
        </w:rPr>
        <w:t xml:space="preserve">                              </w:t>
      </w:r>
      <w:r>
        <w:rPr>
          <w:rFonts w:cs="Times New Roman" w:ascii="Calibri" w:hAnsi="Calibri"/>
          <w:color w:val="5983B0"/>
          <w:sz w:val="28"/>
          <w:szCs w:val="28"/>
        </w:rPr>
        <w:t>Angel Marčev                                           dr Duško Vujačić</w:t>
      </w:r>
    </w:p>
    <w:p>
      <w:pPr>
        <w:pStyle w:val="Title"/>
        <w:jc w:val="both"/>
        <w:rPr>
          <w:rFonts w:ascii="Calibri" w:hAnsi="Calibri"/>
        </w:rPr>
      </w:pPr>
      <w:r>
        <w:rPr>
          <w:rFonts w:cs="Times New Roman" w:ascii="Calibri" w:hAnsi="Calibri"/>
          <w:color w:val="5983B0"/>
          <w:sz w:val="28"/>
          <w:szCs w:val="28"/>
        </w:rPr>
        <w:t xml:space="preserve">  </w:t>
      </w:r>
      <w:r>
        <w:rPr>
          <w:rFonts w:cs="Times New Roman" w:ascii="Calibri" w:hAnsi="Calibri"/>
          <w:color w:val="5983B0"/>
          <w:w w:val="95"/>
          <w:sz w:val="28"/>
          <w:szCs w:val="28"/>
        </w:rPr>
        <w:t xml:space="preserve">  </w:t>
      </w:r>
      <w:r>
        <w:rPr>
          <w:rFonts w:cs="Times New Roman" w:ascii="Calibri" w:hAnsi="Calibri"/>
          <w:color w:val="5983B0"/>
          <w:spacing w:val="-49"/>
          <w:w w:val="95"/>
          <w:sz w:val="28"/>
          <w:szCs w:val="28"/>
        </w:rPr>
        <w:t xml:space="preserve"> </w:t>
      </w:r>
    </w:p>
    <w:p>
      <w:pPr>
        <w:pStyle w:val="Title"/>
        <w:jc w:val="both"/>
        <w:rPr>
          <w:rFonts w:ascii="Calibri" w:hAnsi="Calibri"/>
        </w:rPr>
      </w:pPr>
      <w:r>
        <w:rPr>
          <w:rFonts w:cs="Calibri" w:ascii="Calibri" w:hAnsi="Calibri"/>
          <w:color w:val="3465A4"/>
          <w:sz w:val="28"/>
          <w:szCs w:val="28"/>
          <w:lang w:val="sr-Latn-ME"/>
        </w:rPr>
        <w:t xml:space="preserve">                     </w:t>
      </w:r>
      <w:r>
        <w:rPr>
          <w:rFonts w:cs="Calibri" w:ascii="Calibri" w:hAnsi="Calibri"/>
          <w:color w:val="729FCF"/>
          <w:sz w:val="28"/>
          <w:szCs w:val="28"/>
          <w:lang w:val="sr-Latn-ME"/>
        </w:rPr>
        <w:t xml:space="preserve">  </w:t>
      </w:r>
      <w:r>
        <w:rPr>
          <w:rFonts w:cs="Calibri" w:ascii="Calibri" w:hAnsi="Calibri"/>
          <w:color w:val="5983B0"/>
          <w:sz w:val="28"/>
          <w:szCs w:val="28"/>
          <w:lang w:val="sr-Latn-ME"/>
        </w:rPr>
        <w:t xml:space="preserve"> </w:t>
      </w:r>
      <w:r>
        <w:rPr>
          <w:rFonts w:cs="Calibri" w:ascii="Calibri" w:hAnsi="Calibri"/>
          <w:color w:val="5983B0"/>
          <w:sz w:val="28"/>
          <w:szCs w:val="28"/>
          <w:lang w:val="sr-Latn-ME"/>
        </w:rPr>
        <w:t>Broj indeksa  2</w:t>
      </w:r>
      <w:r>
        <w:rPr>
          <w:rFonts w:cs="Calibri" w:ascii="Calibri" w:hAnsi="Calibri"/>
          <w:color w:val="5983B0"/>
          <w:sz w:val="28"/>
          <w:szCs w:val="28"/>
          <w:lang w:val="de-DE"/>
        </w:rPr>
        <w:t xml:space="preserve">/24                                                  docent                       </w:t>
      </w:r>
      <w:r>
        <w:rPr>
          <w:rFonts w:cs="Calibri" w:ascii="Calibri" w:hAnsi="Calibri"/>
          <w:color w:val="5983B0"/>
          <w:lang w:val="de-DE"/>
        </w:rPr>
        <w:t xml:space="preserve">  </w:t>
      </w:r>
    </w:p>
    <w:p>
      <w:pPr>
        <w:pStyle w:val="Normal"/>
        <w:jc w:val="both"/>
        <w:rPr>
          <w:rFonts w:ascii="Calibri" w:hAnsi="Calibri" w:cs="Times New Roman"/>
          <w:color w:val="5983B0"/>
          <w:sz w:val="28"/>
          <w:szCs w:val="28"/>
        </w:rPr>
      </w:pPr>
      <w:r>
        <w:rPr>
          <w:rFonts w:cs="Times New Roman" w:ascii="Calibri" w:hAnsi="Calibri"/>
          <w:color w:val="5983B0"/>
          <w:sz w:val="28"/>
          <w:szCs w:val="28"/>
        </w:rPr>
      </w:r>
    </w:p>
    <w:p>
      <w:pPr>
        <w:pStyle w:val="Normal"/>
        <w:jc w:val="both"/>
        <w:rPr>
          <w:rFonts w:ascii="Calibri" w:hAnsi="Calibri" w:cs="Times New Roman"/>
          <w:color w:val="5983B0"/>
          <w:sz w:val="28"/>
          <w:szCs w:val="28"/>
        </w:rPr>
      </w:pPr>
      <w:r>
        <w:rPr>
          <w:rFonts w:cs="Times New Roman" w:ascii="Calibri" w:hAnsi="Calibri"/>
          <w:color w:val="5983B0"/>
          <w:sz w:val="28"/>
          <w:szCs w:val="28"/>
        </w:rPr>
      </w:r>
    </w:p>
    <w:p>
      <w:pPr>
        <w:pStyle w:val="Normal"/>
        <w:jc w:val="both"/>
        <w:rPr>
          <w:rFonts w:ascii="Calibri" w:hAnsi="Calibri" w:cs="Times New Roman"/>
          <w:color w:val="5983B0"/>
          <w:sz w:val="28"/>
          <w:szCs w:val="28"/>
        </w:rPr>
      </w:pPr>
      <w:r>
        <w:rPr>
          <w:rFonts w:cs="Times New Roman" w:ascii="Calibri" w:hAnsi="Calibri"/>
          <w:color w:val="5983B0"/>
          <w:sz w:val="28"/>
          <w:szCs w:val="28"/>
        </w:rPr>
      </w:r>
    </w:p>
    <w:p>
      <w:pPr>
        <w:pStyle w:val="Normal"/>
        <w:jc w:val="both"/>
        <w:rPr>
          <w:rFonts w:ascii="Calibri" w:hAnsi="Calibri" w:cs="Times New Roman"/>
          <w:color w:val="5983B0"/>
          <w:sz w:val="28"/>
          <w:szCs w:val="28"/>
        </w:rPr>
      </w:pPr>
      <w:r>
        <w:rPr>
          <w:rFonts w:cs="Times New Roman" w:ascii="Calibri" w:hAnsi="Calibri"/>
          <w:color w:val="5983B0"/>
          <w:sz w:val="28"/>
          <w:szCs w:val="28"/>
        </w:rPr>
      </w:r>
    </w:p>
    <w:p>
      <w:pPr>
        <w:pStyle w:val="Normal"/>
        <w:jc w:val="both"/>
        <w:rPr>
          <w:rFonts w:ascii="Calibri" w:hAnsi="Calibri" w:cs="Times New Roman"/>
          <w:color w:val="5983B0"/>
          <w:sz w:val="28"/>
          <w:szCs w:val="28"/>
        </w:rPr>
      </w:pPr>
      <w:r>
        <w:rPr>
          <w:rFonts w:cs="Times New Roman" w:ascii="Calibri" w:hAnsi="Calibri"/>
          <w:color w:val="5983B0"/>
          <w:sz w:val="28"/>
          <w:szCs w:val="28"/>
        </w:rPr>
      </w:r>
    </w:p>
    <w:sdt>
      <w:sdtPr>
        <w:docPartObj>
          <w:docPartGallery w:val="Table of Contents"/>
          <w:docPartUnique w:val="true"/>
        </w:docPartObj>
      </w:sdtPr>
      <w:sdtContent>
        <w:p>
          <w:pPr>
            <w:pStyle w:val="TOCHeading"/>
            <w:keepNext w:val="true"/>
            <w:keepLines/>
            <w:suppressAutoHyphens w:val="false"/>
            <w:spacing w:lineRule="auto" w:line="259" w:before="240" w:after="0"/>
            <w:ind w:hanging="0" w:left="0" w:right="0"/>
            <w:jc w:val="left"/>
            <w:rPr>
              <w:rFonts w:ascii="Calibri Light" w:hAnsi="Calibri Light" w:eastAsia="" w:cs="" w:asciiTheme="majorHAnsi" w:cstheme="majorBidi" w:eastAsiaTheme="majorEastAsia" w:hAnsiTheme="majorHAnsi"/>
              <w:b w:val="false"/>
              <w:bCs w:val="false"/>
              <w:color w:themeColor="accent1" w:themeShade="bf" w:val="2E74B5"/>
              <w:kern w:val="0"/>
              <w:sz w:val="32"/>
              <w:szCs w:val="32"/>
              <w:lang w:eastAsia="en-US" w:bidi="ar-SA"/>
            </w:rPr>
          </w:pPr>
          <w:r>
            <w:rPr>
              <w:rFonts w:eastAsia="" w:cs="" w:cstheme="majorBidi" w:eastAsiaTheme="majorEastAsia"/>
              <w:b w:val="false"/>
              <w:bCs w:val="false"/>
              <w:color w:themeColor="accent1" w:themeShade="bf" w:val="2E74B5"/>
              <w:kern w:val="0"/>
              <w:sz w:val="32"/>
              <w:szCs w:val="32"/>
              <w:lang w:eastAsia="en-US" w:bidi="ar-SA"/>
            </w:rPr>
            <w:t>SADRŽAJ</w:t>
          </w:r>
        </w:p>
        <w:p>
          <w:pPr>
            <w:pStyle w:val="TOC1"/>
            <w:tabs>
              <w:tab w:val="clear" w:pos="709"/>
              <w:tab w:val="right" w:pos="9404" w:leader="dot"/>
            </w:tabs>
            <w:rPr/>
          </w:pPr>
          <w:r>
            <w:fldChar w:fldCharType="begin"/>
          </w:r>
          <w:r>
            <w:rPr>
              <w:rStyle w:val="IndexLink"/>
            </w:rPr>
            <w:instrText xml:space="preserve"> TOC \o "1-3" \h</w:instrText>
          </w:r>
          <w:r>
            <w:rPr>
              <w:rStyle w:val="IndexLink"/>
            </w:rPr>
            <w:fldChar w:fldCharType="separate"/>
          </w:r>
          <w:hyperlink w:anchor="__RefHeading___Toc17973_3109916052">
            <w:r>
              <w:rPr>
                <w:rStyle w:val="IndexLink"/>
              </w:rPr>
              <w:t>1. Uvod</w:t>
              <w:tab/>
              <w:t>1</w:t>
            </w:r>
          </w:hyperlink>
        </w:p>
        <w:p>
          <w:pPr>
            <w:pStyle w:val="TOC1"/>
            <w:tabs>
              <w:tab w:val="clear" w:pos="709"/>
              <w:tab w:val="right" w:pos="9404" w:leader="dot"/>
            </w:tabs>
            <w:rPr/>
          </w:pPr>
          <w:hyperlink w:anchor="__RefHeading___Toc4245_776530240">
            <w:r>
              <w:rPr>
                <w:rStyle w:val="IndexLink"/>
              </w:rPr>
              <w:t>2. Geografski pregled regije</w:t>
              <w:tab/>
              <w:t>2</w:t>
            </w:r>
          </w:hyperlink>
        </w:p>
        <w:p>
          <w:pPr>
            <w:pStyle w:val="TOC2"/>
            <w:tabs>
              <w:tab w:val="clear" w:pos="709"/>
              <w:tab w:val="right" w:pos="9404" w:leader="dot"/>
            </w:tabs>
            <w:rPr/>
          </w:pPr>
          <w:hyperlink w:anchor="__RefHeading___Toc2477_1802657202">
            <w:r>
              <w:rPr>
                <w:rStyle w:val="IndexLink"/>
              </w:rPr>
              <w:t>2.1. Glacijalni reljef:</w:t>
              <w:tab/>
              <w:t>2</w:t>
            </w:r>
          </w:hyperlink>
        </w:p>
        <w:p>
          <w:pPr>
            <w:pStyle w:val="TOC2"/>
            <w:tabs>
              <w:tab w:val="clear" w:pos="709"/>
              <w:tab w:val="right" w:pos="9404" w:leader="dot"/>
            </w:tabs>
            <w:rPr/>
          </w:pPr>
          <w:hyperlink w:anchor="__RefHeading___Toc2479_1802657202">
            <w:r>
              <w:rPr>
                <w:rStyle w:val="IndexLink"/>
              </w:rPr>
              <w:t>2.2. Karstni reljef:</w:t>
              <w:tab/>
              <w:t>2</w:t>
            </w:r>
          </w:hyperlink>
        </w:p>
        <w:p>
          <w:pPr>
            <w:pStyle w:val="TOC2"/>
            <w:tabs>
              <w:tab w:val="clear" w:pos="709"/>
              <w:tab w:val="right" w:pos="9404" w:leader="dot"/>
            </w:tabs>
            <w:rPr/>
          </w:pPr>
          <w:hyperlink w:anchor="__RefHeading___Toc2481_1802657202">
            <w:r>
              <w:rPr>
                <w:rStyle w:val="IndexLink"/>
              </w:rPr>
              <w:t>2.3. Riječni reljef:</w:t>
              <w:tab/>
              <w:t>2</w:t>
            </w:r>
          </w:hyperlink>
        </w:p>
        <w:p>
          <w:pPr>
            <w:pStyle w:val="TOC2"/>
            <w:tabs>
              <w:tab w:val="clear" w:pos="709"/>
              <w:tab w:val="right" w:pos="9404" w:leader="dot"/>
            </w:tabs>
            <w:rPr/>
          </w:pPr>
          <w:hyperlink w:anchor="__RefHeading___Toc2483_1802657202">
            <w:r>
              <w:rPr>
                <w:rStyle w:val="IndexLink"/>
              </w:rPr>
              <w:t>2.4. Vulkanski ostaci:</w:t>
              <w:tab/>
              <w:t>2</w:t>
            </w:r>
          </w:hyperlink>
        </w:p>
        <w:p>
          <w:pPr>
            <w:pStyle w:val="TOC1"/>
            <w:tabs>
              <w:tab w:val="clear" w:pos="709"/>
              <w:tab w:val="right" w:pos="9404" w:leader="dot"/>
            </w:tabs>
            <w:rPr/>
          </w:pPr>
          <w:hyperlink w:anchor="__RefHeading___Toc4247_776530240">
            <w:r>
              <w:rPr>
                <w:rStyle w:val="IndexLink"/>
              </w:rPr>
              <w:t>3. Značajni objekti geo-nasleđa</w:t>
              <w:tab/>
              <w:t>3</w:t>
            </w:r>
          </w:hyperlink>
        </w:p>
        <w:p>
          <w:pPr>
            <w:pStyle w:val="TOC2"/>
            <w:tabs>
              <w:tab w:val="clear" w:pos="709"/>
              <w:tab w:val="right" w:pos="9404" w:leader="dot"/>
            </w:tabs>
            <w:rPr/>
          </w:pPr>
          <w:hyperlink w:anchor="__RefHeading___Toc4471_776530240">
            <w:r>
              <w:rPr>
                <w:rStyle w:val="IndexLink"/>
              </w:rPr>
              <w:t>3.1. Durmitor i kanjon Tare</w:t>
              <w:tab/>
              <w:t>3</w:t>
            </w:r>
          </w:hyperlink>
        </w:p>
        <w:p>
          <w:pPr>
            <w:pStyle w:val="TOC2"/>
            <w:tabs>
              <w:tab w:val="clear" w:pos="709"/>
              <w:tab w:val="right" w:pos="9404" w:leader="dot"/>
            </w:tabs>
            <w:rPr/>
          </w:pPr>
          <w:hyperlink w:anchor="__RefHeading___Toc4473_776530240">
            <w:r>
              <w:rPr>
                <w:rStyle w:val="IndexLink"/>
              </w:rPr>
              <w:t>3.2. Prokletije</w:t>
              <w:tab/>
              <w:t>6</w:t>
            </w:r>
          </w:hyperlink>
        </w:p>
        <w:p>
          <w:pPr>
            <w:pStyle w:val="TOC2"/>
            <w:tabs>
              <w:tab w:val="clear" w:pos="709"/>
              <w:tab w:val="right" w:pos="9404" w:leader="dot"/>
            </w:tabs>
            <w:rPr/>
          </w:pPr>
          <w:hyperlink w:anchor="__RefHeading___Toc11763_776530240">
            <w:r>
              <w:rPr>
                <w:rStyle w:val="IndexLink"/>
              </w:rPr>
              <w:t>3.3. Bjelasica</w:t>
              <w:tab/>
              <w:t>7</w:t>
            </w:r>
          </w:hyperlink>
        </w:p>
        <w:p>
          <w:pPr>
            <w:pStyle w:val="TOC2"/>
            <w:tabs>
              <w:tab w:val="clear" w:pos="709"/>
              <w:tab w:val="right" w:pos="9404" w:leader="dot"/>
            </w:tabs>
            <w:rPr/>
          </w:pPr>
          <w:hyperlink w:anchor="__RefHeading___Toc11765_776530240">
            <w:r>
              <w:rPr>
                <w:rStyle w:val="IndexLink"/>
              </w:rPr>
              <w:t>3.4. Đalovića pećina</w:t>
              <w:tab/>
              <w:t>7</w:t>
            </w:r>
          </w:hyperlink>
        </w:p>
        <w:p>
          <w:pPr>
            <w:pStyle w:val="TOC2"/>
            <w:tabs>
              <w:tab w:val="clear" w:pos="709"/>
              <w:tab w:val="right" w:pos="9404" w:leader="dot"/>
            </w:tabs>
            <w:rPr/>
          </w:pPr>
          <w:hyperlink w:anchor="__RefHeading___Toc11767_776530240">
            <w:r>
              <w:rPr>
                <w:rStyle w:val="IndexLink"/>
              </w:rPr>
              <w:t>3.5. Kanjon Nevidio</w:t>
              <w:tab/>
              <w:t>8</w:t>
            </w:r>
          </w:hyperlink>
        </w:p>
        <w:p>
          <w:pPr>
            <w:pStyle w:val="TOC1"/>
            <w:tabs>
              <w:tab w:val="clear" w:pos="709"/>
              <w:tab w:val="right" w:pos="9404" w:leader="dot"/>
            </w:tabs>
            <w:rPr/>
          </w:pPr>
          <w:hyperlink w:anchor="__RefHeading___Toc4249_776530240">
            <w:r>
              <w:rPr>
                <w:rStyle w:val="IndexLink"/>
              </w:rPr>
              <w:t>4. Turistička valorizacija</w:t>
              <w:tab/>
              <w:t>9</w:t>
            </w:r>
          </w:hyperlink>
        </w:p>
        <w:p>
          <w:pPr>
            <w:pStyle w:val="TOC2"/>
            <w:tabs>
              <w:tab w:val="clear" w:pos="709"/>
              <w:tab w:val="right" w:pos="9404" w:leader="dot"/>
            </w:tabs>
            <w:rPr/>
          </w:pPr>
          <w:hyperlink w:anchor="__RefHeading___Toc2445_1802657202">
            <w:r>
              <w:rPr>
                <w:rStyle w:val="IndexLink"/>
              </w:rPr>
              <w:t>4.1. Infrastruktura:</w:t>
              <w:tab/>
              <w:t>9</w:t>
            </w:r>
          </w:hyperlink>
        </w:p>
        <w:p>
          <w:pPr>
            <w:pStyle w:val="TOC2"/>
            <w:tabs>
              <w:tab w:val="clear" w:pos="709"/>
              <w:tab w:val="right" w:pos="9404" w:leader="dot"/>
            </w:tabs>
            <w:rPr/>
          </w:pPr>
          <w:hyperlink w:anchor="__RefHeading___Toc2447_1802657202">
            <w:r>
              <w:rPr>
                <w:rStyle w:val="IndexLink"/>
              </w:rPr>
              <w:t>4.2. Turistička ponuda:</w:t>
              <w:tab/>
              <w:t>9</w:t>
            </w:r>
          </w:hyperlink>
        </w:p>
        <w:p>
          <w:pPr>
            <w:pStyle w:val="TOC2"/>
            <w:tabs>
              <w:tab w:val="clear" w:pos="709"/>
              <w:tab w:val="right" w:pos="9404" w:leader="dot"/>
            </w:tabs>
            <w:rPr/>
          </w:pPr>
          <w:hyperlink w:anchor="__RefHeading___Toc2449_1802657202">
            <w:r>
              <w:rPr>
                <w:rStyle w:val="IndexLink"/>
              </w:rPr>
              <w:t>4.3. Marketing i promocija:</w:t>
              <w:tab/>
              <w:t>9</w:t>
            </w:r>
          </w:hyperlink>
        </w:p>
        <w:p>
          <w:pPr>
            <w:pStyle w:val="TOC2"/>
            <w:tabs>
              <w:tab w:val="clear" w:pos="709"/>
              <w:tab w:val="right" w:pos="9404" w:leader="dot"/>
            </w:tabs>
            <w:rPr/>
          </w:pPr>
          <w:hyperlink w:anchor="__RefHeading___Toc2451_1802657202">
            <w:r>
              <w:rPr>
                <w:rStyle w:val="IndexLink"/>
              </w:rPr>
              <w:t>4.4. Uloga lokalne zajednice:</w:t>
              <w:tab/>
              <w:t>9</w:t>
            </w:r>
          </w:hyperlink>
        </w:p>
        <w:p>
          <w:pPr>
            <w:pStyle w:val="TOC1"/>
            <w:tabs>
              <w:tab w:val="clear" w:pos="709"/>
              <w:tab w:val="right" w:pos="9404" w:leader="dot"/>
            </w:tabs>
            <w:rPr/>
          </w:pPr>
          <w:hyperlink w:anchor="__RefHeading___Toc4335_776530240">
            <w:r>
              <w:rPr>
                <w:rStyle w:val="IndexLink"/>
              </w:rPr>
              <w:t>5. Izazovi u valorizaciji geo-nasleđa</w:t>
              <w:tab/>
              <w:t>11</w:t>
            </w:r>
          </w:hyperlink>
        </w:p>
        <w:p>
          <w:pPr>
            <w:pStyle w:val="TOC2"/>
            <w:tabs>
              <w:tab w:val="clear" w:pos="709"/>
              <w:tab w:val="right" w:pos="9404" w:leader="dot"/>
            </w:tabs>
            <w:rPr/>
          </w:pPr>
          <w:hyperlink w:anchor="__RefHeading___Toc2453_1802657202">
            <w:r>
              <w:rPr>
                <w:rStyle w:val="IndexLink"/>
              </w:rPr>
              <w:t>5.1. Nedostatak stručnog kadra:</w:t>
              <w:tab/>
              <w:t>11</w:t>
            </w:r>
          </w:hyperlink>
        </w:p>
        <w:p>
          <w:pPr>
            <w:pStyle w:val="TOC2"/>
            <w:tabs>
              <w:tab w:val="clear" w:pos="709"/>
              <w:tab w:val="right" w:pos="9404" w:leader="dot"/>
            </w:tabs>
            <w:rPr/>
          </w:pPr>
          <w:hyperlink w:anchor="__RefHeading___Toc2455_1802657202">
            <w:r>
              <w:rPr>
                <w:rStyle w:val="IndexLink"/>
              </w:rPr>
              <w:t>5.2. Slaba infrastruktura i pristupačnost:</w:t>
              <w:tab/>
              <w:t>11</w:t>
            </w:r>
          </w:hyperlink>
        </w:p>
        <w:p>
          <w:pPr>
            <w:pStyle w:val="TOC2"/>
            <w:tabs>
              <w:tab w:val="clear" w:pos="709"/>
              <w:tab w:val="right" w:pos="9404" w:leader="dot"/>
            </w:tabs>
            <w:rPr/>
          </w:pPr>
          <w:hyperlink w:anchor="__RefHeading___Toc2457_1802657202">
            <w:r>
              <w:rPr>
                <w:rStyle w:val="IndexLink"/>
              </w:rPr>
              <w:t>5.3. Finansijska ograničenja:</w:t>
              <w:tab/>
              <w:t>11</w:t>
            </w:r>
          </w:hyperlink>
        </w:p>
        <w:p>
          <w:pPr>
            <w:pStyle w:val="TOC2"/>
            <w:tabs>
              <w:tab w:val="clear" w:pos="709"/>
              <w:tab w:val="right" w:pos="9404" w:leader="dot"/>
            </w:tabs>
            <w:rPr/>
          </w:pPr>
          <w:hyperlink w:anchor="__RefHeading___Toc2459_1802657202">
            <w:r>
              <w:rPr>
                <w:rStyle w:val="IndexLink"/>
              </w:rPr>
              <w:t>5.4. Nedovoljna promocija:</w:t>
              <w:tab/>
              <w:t>11</w:t>
            </w:r>
          </w:hyperlink>
        </w:p>
        <w:p>
          <w:pPr>
            <w:pStyle w:val="TOC2"/>
            <w:tabs>
              <w:tab w:val="clear" w:pos="709"/>
              <w:tab w:val="right" w:pos="9404" w:leader="dot"/>
            </w:tabs>
            <w:rPr/>
          </w:pPr>
          <w:hyperlink w:anchor="__RefHeading___Toc2461_1802657202">
            <w:r>
              <w:rPr>
                <w:rStyle w:val="IndexLink"/>
              </w:rPr>
              <w:t>5.5. Slaba uključenost lokalnog stanovništva:</w:t>
              <w:tab/>
              <w:t>11</w:t>
            </w:r>
          </w:hyperlink>
        </w:p>
        <w:p>
          <w:pPr>
            <w:pStyle w:val="TOC2"/>
            <w:tabs>
              <w:tab w:val="clear" w:pos="709"/>
              <w:tab w:val="right" w:pos="9404" w:leader="dot"/>
            </w:tabs>
            <w:rPr/>
          </w:pPr>
          <w:hyperlink w:anchor="__RefHeading___Toc2463_1802657202">
            <w:r>
              <w:rPr>
                <w:rStyle w:val="IndexLink"/>
              </w:rPr>
              <w:t>5.6. Rizik od degradacije:</w:t>
              <w:tab/>
              <w:t>11</w:t>
            </w:r>
          </w:hyperlink>
        </w:p>
        <w:p>
          <w:pPr>
            <w:pStyle w:val="TOC1"/>
            <w:tabs>
              <w:tab w:val="clear" w:pos="709"/>
              <w:tab w:val="right" w:pos="9404" w:leader="dot"/>
            </w:tabs>
            <w:rPr/>
          </w:pPr>
          <w:hyperlink w:anchor="__RefHeading___Toc4337_776530240">
            <w:r>
              <w:rPr>
                <w:rStyle w:val="IndexLink"/>
              </w:rPr>
              <w:t>6. Preporuke i zaključak</w:t>
              <w:tab/>
              <w:t>12</w:t>
            </w:r>
          </w:hyperlink>
        </w:p>
        <w:p>
          <w:pPr>
            <w:pStyle w:val="TOC1"/>
            <w:tabs>
              <w:tab w:val="clear" w:pos="709"/>
              <w:tab w:val="right" w:pos="9404" w:leader="dot"/>
            </w:tabs>
            <w:rPr/>
          </w:pPr>
          <w:hyperlink w:anchor="__RefHeading___Toc4339_776530240">
            <w:r>
              <w:rPr>
                <w:rStyle w:val="IndexLink"/>
              </w:rPr>
              <w:t>7. LITERATURA</w:t>
              <w:tab/>
              <w:t>13</w:t>
            </w:r>
          </w:hyperlink>
          <w:r>
            <w:rPr>
              <w:rStyle w:val="IndexLink"/>
            </w:rPr>
            <w:fldChar w:fldCharType="end"/>
          </w:r>
        </w:p>
        <w:p>
          <w:pPr>
            <w:sectPr>
              <w:footerReference w:type="even" r:id="rId3"/>
              <w:footerReference w:type="default" r:id="rId4"/>
              <w:footerReference w:type="first" r:id="rId5"/>
              <w:type w:val="nextPage"/>
              <w:pgSz w:w="12240" w:h="15840"/>
              <w:pgMar w:left="1701" w:right="1134" w:gutter="0" w:header="0" w:top="850" w:footer="850" w:bottom="907"/>
              <w:pgNumType w:start="0" w:fmt="decimal"/>
              <w:formProt w:val="false"/>
              <w:textDirection w:val="lrTb"/>
              <w:docGrid w:type="default" w:linePitch="360" w:charSpace="0"/>
            </w:sectPr>
          </w:pPr>
        </w:p>
      </w:sdtContent>
    </w:sdt>
    <w:p>
      <w:pPr>
        <w:pStyle w:val="Heading1"/>
        <w:widowControl/>
        <w:numPr>
          <w:ilvl w:val="0"/>
          <w:numId w:val="0"/>
        </w:numPr>
        <w:suppressAutoHyphens w:val="true"/>
        <w:bidi w:val="0"/>
        <w:spacing w:before="0" w:after="0"/>
        <w:ind w:hanging="0" w:left="0" w:right="2340"/>
        <w:jc w:val="left"/>
        <w:rPr/>
      </w:pPr>
      <w:bookmarkStart w:id="0" w:name="__RefHeading___Toc17973_3109916052"/>
      <w:bookmarkEnd w:id="0"/>
      <w:r>
        <w:rPr>
          <w:rStyle w:val="StrongEmphasis"/>
          <w:rFonts w:ascii="Calibri" w:hAnsi="Calibri"/>
          <w:b/>
          <w:bCs/>
          <w:color w:val="3465A4"/>
        </w:rPr>
        <w:t>1. Uvod</w:t>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jc w:val="both"/>
        <w:rPr>
          <w:rFonts w:ascii="Calibri" w:hAnsi="Calibri"/>
        </w:rPr>
      </w:pPr>
      <w:r>
        <w:rPr>
          <w:rFonts w:ascii="Calibri" w:hAnsi="Calibri"/>
        </w:rPr>
        <w:tab/>
        <w:t>Geo-nasleđe predstavlja skup geoloških, geomorfoloških i pedoloških osobenosti koje imaju naučnu, obrazovnu, kulturnu i estetsku vrednost.</w:t>
      </w:r>
    </w:p>
    <w:p>
      <w:pPr>
        <w:pStyle w:val="BodyText"/>
        <w:jc w:val="both"/>
        <w:rPr>
          <w:rFonts w:ascii="Calibri" w:hAnsi="Calibri"/>
        </w:rPr>
      </w:pPr>
      <w:r>
        <w:rPr>
          <w:rFonts w:ascii="Calibri" w:hAnsi="Calibri"/>
        </w:rPr>
        <w:t>U savremenom turizmu, geo-nasleđe se sve više prepoznaje kao ključni potencijal za razvoj specifičnih oblika turizma, poput geoturizma, ekoturizma i edukativnog turizma.</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t>Sjever i sjeveroistočna regija Crne Gore bogate su raznovrsnim geološkim oblicima, reljefnim specifičnostima i prirodnim fenomenima koji predstavljaju važne tačke za turističku valorizaciju.</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t>Cilj ovog rada je da se identifikuju i analiziraju objekti geo-nasleđa u pomenutim regijama, procijeni njihov turistički potencijal i da se predlože mjere za njihovu održivu valorizaciju i promociju.</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t>Rad takođe ima za cilj da podstakne veće interesovanje za očuvanje geo-nasleđa kroz njegovu interpretaciju, promociju i uključivanje u turističku ponudu.</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Heading1"/>
        <w:widowControl/>
        <w:suppressAutoHyphens w:val="true"/>
        <w:bidi w:val="0"/>
        <w:spacing w:before="0" w:after="0"/>
        <w:ind w:hanging="0" w:left="0" w:right="2324"/>
        <w:jc w:val="left"/>
        <w:rPr/>
      </w:pPr>
      <w:bookmarkStart w:id="1" w:name="__RefHeading___Toc4245_776530240"/>
      <w:bookmarkEnd w:id="1"/>
      <w:r>
        <w:rPr>
          <w:color w:val="5983B0"/>
        </w:rPr>
        <w:t>2. Geografski pregled regije</w:t>
      </w:r>
    </w:p>
    <w:p>
      <w:pPr>
        <w:pStyle w:val="Normal"/>
        <w:jc w:val="both"/>
        <w:rPr>
          <w:rFonts w:ascii="Calibri" w:hAnsi="Calibri"/>
        </w:rPr>
      </w:pPr>
      <w:r>
        <w:rPr>
          <w:rFonts w:ascii="Calibri" w:hAnsi="Calibri"/>
        </w:rPr>
      </w:r>
    </w:p>
    <w:p>
      <w:pPr>
        <w:pStyle w:val="BodyText"/>
        <w:rPr>
          <w:rStyle w:val="Strong"/>
          <w:rFonts w:ascii="Calibri" w:hAnsi="Calibri"/>
        </w:rPr>
      </w:pPr>
      <w:r>
        <w:rPr>
          <w:rFonts w:ascii="Calibri" w:hAnsi="Calibri"/>
        </w:rPr>
      </w:r>
    </w:p>
    <w:p>
      <w:pPr>
        <w:pStyle w:val="BodyText"/>
        <w:jc w:val="both"/>
        <w:rPr>
          <w:rFonts w:ascii="Calibri" w:hAnsi="Calibri"/>
        </w:rPr>
      </w:pPr>
      <w:r>
        <w:rPr>
          <w:rFonts w:ascii="Calibri" w:hAnsi="Calibri"/>
        </w:rPr>
        <w:t>Sjeverna i sjeveroistočna Crna Gora obuhvataju opštine: Pljevlja, Žabljak, Mojkovac, Bijelo Polje, Berane, Petnjica, Rožaje, Andrijevica, Plav i Gusinje. Ove oblasti su pretežno planinske, sa izraženim reljefnim kontrastima, velikim nadmorskim visinama, dubokim klisurama i planinskim jezerima.</w:t>
      </w:r>
    </w:p>
    <w:p>
      <w:pPr>
        <w:pStyle w:val="BodyText"/>
        <w:jc w:val="both"/>
        <w:rPr>
          <w:rFonts w:ascii="Calibri" w:hAnsi="Calibri"/>
        </w:rPr>
      </w:pPr>
      <w:r>
        <w:rPr>
          <w:rFonts w:ascii="Calibri" w:hAnsi="Calibri"/>
        </w:rPr>
        <w:t>Geomorfološki, ovaj prostor pripada Dinarskim Alpima i karakterišu ga:</w:t>
      </w:r>
    </w:p>
    <w:p>
      <w:pPr>
        <w:pStyle w:val="BodyText"/>
        <w:jc w:val="both"/>
        <w:rPr>
          <w:rFonts w:ascii="Calibri" w:hAnsi="Calibri"/>
        </w:rPr>
      </w:pPr>
      <w:r>
        <w:rPr/>
      </w:r>
    </w:p>
    <w:p>
      <w:pPr>
        <w:pStyle w:val="Heading2"/>
        <w:numPr>
          <w:ilvl w:val="0"/>
          <w:numId w:val="0"/>
        </w:numPr>
        <w:ind w:hanging="0" w:left="709"/>
        <w:rPr/>
      </w:pPr>
      <w:bookmarkStart w:id="2" w:name="__RefHeading___Toc2477_1802657202"/>
      <w:bookmarkEnd w:id="2"/>
      <w:r>
        <w:rPr>
          <w:rStyle w:val="Strong"/>
          <w:rFonts w:ascii="Calibri" w:hAnsi="Calibri"/>
          <w:b/>
          <w:bCs/>
          <w:sz w:val="24"/>
          <w:szCs w:val="24"/>
        </w:rPr>
        <w:t xml:space="preserve">2.1. </w:t>
      </w:r>
      <w:r>
        <w:rPr>
          <w:rStyle w:val="Strong"/>
          <w:rFonts w:ascii="Calibri" w:hAnsi="Calibri"/>
          <w:b/>
          <w:bCs/>
          <w:sz w:val="24"/>
          <w:szCs w:val="24"/>
        </w:rPr>
        <w:t>Glacijalni reljef</w:t>
      </w:r>
      <w:r>
        <w:rPr>
          <w:rFonts w:ascii="Calibri" w:hAnsi="Calibri"/>
          <w:sz w:val="24"/>
          <w:szCs w:val="24"/>
        </w:rPr>
        <w:t>:</w:t>
      </w:r>
    </w:p>
    <w:p>
      <w:pPr>
        <w:pStyle w:val="BodyText"/>
        <w:numPr>
          <w:ilvl w:val="0"/>
          <w:numId w:val="0"/>
        </w:numPr>
        <w:tabs>
          <w:tab w:val="clear" w:pos="709"/>
          <w:tab w:val="left" w:pos="0" w:leader="none"/>
        </w:tabs>
        <w:ind w:hanging="0" w:left="709"/>
        <w:jc w:val="both"/>
        <w:rPr/>
      </w:pPr>
      <w:r>
        <w:rPr>
          <w:rFonts w:ascii="Calibri" w:hAnsi="Calibri"/>
        </w:rPr>
        <w:t>Tragovi ledenog doba izraženi su na planinama kao što su Durmitor, Bjelasica i Prokletije, kroz pojave cirkova, morena i glečerskih jezera.</w:t>
      </w:r>
    </w:p>
    <w:p>
      <w:pPr>
        <w:pStyle w:val="Heading2"/>
        <w:numPr>
          <w:ilvl w:val="0"/>
          <w:numId w:val="0"/>
        </w:numPr>
        <w:ind w:hanging="0" w:left="709"/>
        <w:rPr/>
      </w:pPr>
      <w:bookmarkStart w:id="3" w:name="__RefHeading___Toc2479_1802657202"/>
      <w:bookmarkEnd w:id="3"/>
      <w:r>
        <w:rPr>
          <w:rStyle w:val="Strong"/>
          <w:rFonts w:ascii="Calibri" w:hAnsi="Calibri"/>
          <w:b/>
          <w:bCs/>
          <w:sz w:val="24"/>
          <w:szCs w:val="24"/>
        </w:rPr>
        <w:t xml:space="preserve">2.2. </w:t>
      </w:r>
      <w:r>
        <w:rPr>
          <w:rStyle w:val="Strong"/>
          <w:rFonts w:ascii="Calibri" w:hAnsi="Calibri"/>
          <w:b/>
          <w:bCs/>
          <w:sz w:val="24"/>
          <w:szCs w:val="24"/>
        </w:rPr>
        <w:t>Karstni reljef</w:t>
      </w:r>
      <w:r>
        <w:rPr>
          <w:rFonts w:ascii="Calibri" w:hAnsi="Calibri"/>
          <w:sz w:val="24"/>
          <w:szCs w:val="24"/>
        </w:rPr>
        <w:t>:</w:t>
      </w:r>
    </w:p>
    <w:p>
      <w:pPr>
        <w:pStyle w:val="BodyText"/>
        <w:numPr>
          <w:ilvl w:val="0"/>
          <w:numId w:val="0"/>
        </w:numPr>
        <w:tabs>
          <w:tab w:val="clear" w:pos="709"/>
          <w:tab w:val="left" w:pos="0" w:leader="none"/>
        </w:tabs>
        <w:ind w:hanging="0" w:left="709"/>
        <w:jc w:val="both"/>
        <w:rPr/>
      </w:pPr>
      <w:r>
        <w:rPr>
          <w:rFonts w:ascii="Calibri" w:hAnsi="Calibri"/>
        </w:rPr>
        <w:t>Karakterističan je za većinu planina ove regije, sa brojnim pećinama (Đalovića, Pećina nad Vražjim virovima), ponorima i kraškim poljima.</w:t>
      </w:r>
    </w:p>
    <w:p>
      <w:pPr>
        <w:pStyle w:val="Heading2"/>
        <w:numPr>
          <w:ilvl w:val="0"/>
          <w:numId w:val="0"/>
        </w:numPr>
        <w:ind w:hanging="0" w:left="709"/>
        <w:rPr/>
      </w:pPr>
      <w:bookmarkStart w:id="4" w:name="__RefHeading___Toc2481_1802657202"/>
      <w:bookmarkEnd w:id="4"/>
      <w:r>
        <w:rPr>
          <w:rStyle w:val="Strong"/>
          <w:rFonts w:ascii="Calibri" w:hAnsi="Calibri"/>
          <w:b/>
          <w:bCs/>
          <w:sz w:val="24"/>
          <w:szCs w:val="24"/>
        </w:rPr>
        <w:t xml:space="preserve">2.3. </w:t>
      </w:r>
      <w:r>
        <w:rPr>
          <w:rStyle w:val="Strong"/>
          <w:rFonts w:ascii="Calibri" w:hAnsi="Calibri"/>
          <w:b/>
          <w:bCs/>
          <w:sz w:val="24"/>
          <w:szCs w:val="24"/>
        </w:rPr>
        <w:t>Riječni reljef</w:t>
      </w:r>
      <w:r>
        <w:rPr>
          <w:rFonts w:ascii="Calibri" w:hAnsi="Calibri"/>
          <w:sz w:val="24"/>
          <w:szCs w:val="24"/>
        </w:rPr>
        <w:t xml:space="preserve">: </w:t>
      </w:r>
    </w:p>
    <w:p>
      <w:pPr>
        <w:pStyle w:val="BodyText"/>
        <w:numPr>
          <w:ilvl w:val="0"/>
          <w:numId w:val="0"/>
        </w:numPr>
        <w:tabs>
          <w:tab w:val="clear" w:pos="709"/>
          <w:tab w:val="left" w:pos="0" w:leader="none"/>
        </w:tabs>
        <w:ind w:hanging="0" w:left="709"/>
        <w:jc w:val="both"/>
        <w:rPr/>
      </w:pPr>
      <w:r>
        <w:rPr>
          <w:rFonts w:ascii="Calibri" w:hAnsi="Calibri"/>
        </w:rPr>
        <w:t>Kanjoni Tare, Lima i Ibra su među najdubljima i najatraktivnijima na Balkanu.</w:t>
      </w:r>
    </w:p>
    <w:p>
      <w:pPr>
        <w:pStyle w:val="Heading2"/>
        <w:numPr>
          <w:ilvl w:val="0"/>
          <w:numId w:val="0"/>
        </w:numPr>
        <w:ind w:hanging="0" w:left="709"/>
        <w:rPr/>
      </w:pPr>
      <w:bookmarkStart w:id="5" w:name="__RefHeading___Toc2483_1802657202"/>
      <w:bookmarkEnd w:id="5"/>
      <w:r>
        <w:rPr>
          <w:rStyle w:val="Strong"/>
          <w:rFonts w:ascii="Calibri" w:hAnsi="Calibri"/>
          <w:b/>
          <w:bCs/>
          <w:sz w:val="24"/>
          <w:szCs w:val="24"/>
        </w:rPr>
        <w:t xml:space="preserve">2.4. </w:t>
      </w:r>
      <w:r>
        <w:rPr>
          <w:rStyle w:val="Strong"/>
          <w:rFonts w:ascii="Calibri" w:hAnsi="Calibri"/>
          <w:b/>
          <w:bCs/>
          <w:sz w:val="24"/>
          <w:szCs w:val="24"/>
        </w:rPr>
        <w:t>Vulkanski ostaci</w:t>
      </w:r>
      <w:r>
        <w:rPr>
          <w:rFonts w:ascii="Calibri" w:hAnsi="Calibri"/>
          <w:sz w:val="24"/>
          <w:szCs w:val="24"/>
        </w:rPr>
        <w:t>:</w:t>
      </w:r>
    </w:p>
    <w:p>
      <w:pPr>
        <w:pStyle w:val="BodyText"/>
        <w:numPr>
          <w:ilvl w:val="0"/>
          <w:numId w:val="0"/>
        </w:numPr>
        <w:tabs>
          <w:tab w:val="clear" w:pos="709"/>
          <w:tab w:val="left" w:pos="0" w:leader="none"/>
        </w:tabs>
        <w:ind w:hanging="0" w:left="709"/>
        <w:jc w:val="both"/>
        <w:rPr/>
      </w:pPr>
      <w:r>
        <w:rPr>
          <w:rFonts w:ascii="Calibri" w:hAnsi="Calibri"/>
        </w:rPr>
        <w:t>Najizraženiji su na Bjelasici, koja se ističe i po bogatstvu izvora.</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t>Klima je planinska, sa obiljem padavina, hladnim zimama i umjerenim ljetima, što doprinosi bujnoj vegetaciji i očuvanoj prirodnoj sredini.</w:t>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Heading1"/>
        <w:widowControl/>
        <w:suppressAutoHyphens w:val="true"/>
        <w:bidi w:val="0"/>
        <w:spacing w:before="0" w:after="0"/>
        <w:ind w:hanging="0" w:left="0" w:right="2324"/>
        <w:jc w:val="left"/>
        <w:rPr/>
      </w:pPr>
      <w:bookmarkStart w:id="6" w:name="__RefHeading___Toc4247_776530240"/>
      <w:bookmarkEnd w:id="6"/>
      <w:r>
        <w:rPr>
          <w:color w:val="5983B0"/>
        </w:rPr>
        <w:t>3. Značajni objekti geo-nasleđa</w:t>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Heading2"/>
        <w:numPr>
          <w:ilvl w:val="0"/>
          <w:numId w:val="0"/>
        </w:numPr>
        <w:ind w:hanging="0" w:left="120"/>
        <w:rPr/>
      </w:pPr>
      <w:bookmarkStart w:id="7" w:name="__RefHeading___Toc4471_776530240"/>
      <w:bookmarkEnd w:id="7"/>
      <w:r>
        <w:rPr>
          <w:rStyle w:val="Strong"/>
          <w:rFonts w:ascii="Calibri" w:hAnsi="Calibri"/>
          <w:b/>
          <w:bCs/>
        </w:rPr>
        <w:t>3.1. Durmitor i kanjon Tare</w:t>
      </w:r>
      <w:r>
        <w:rPr>
          <w:rFonts w:ascii="Calibri" w:hAnsi="Calibri"/>
          <w:b/>
          <w:bCs/>
        </w:rPr>
        <w:t xml:space="preserve"> </w:t>
      </w:r>
    </w:p>
    <w:p>
      <w:pPr>
        <w:pStyle w:val="Heading2"/>
        <w:numPr>
          <w:ilvl w:val="0"/>
          <w:numId w:val="0"/>
        </w:numPr>
        <w:ind w:hanging="0" w:left="120"/>
        <w:rPr>
          <w:rFonts w:ascii="Calibri" w:hAnsi="Calibri"/>
          <w:b/>
          <w:bCs/>
        </w:rPr>
      </w:pPr>
      <w:r>
        <w:rPr>
          <w:rFonts w:ascii="Calibri" w:hAnsi="Calibri"/>
          <w:b/>
          <w:bCs/>
        </w:rPr>
      </w:r>
    </w:p>
    <w:p>
      <w:pPr>
        <w:pStyle w:val="BodyText"/>
        <w:numPr>
          <w:ilvl w:val="0"/>
          <w:numId w:val="0"/>
        </w:numPr>
        <w:ind w:hanging="0" w:left="0"/>
        <w:jc w:val="both"/>
        <w:rPr/>
      </w:pPr>
      <w:r>
        <w:rPr>
          <w:rFonts w:ascii="Calibri" w:hAnsi="Calibri"/>
        </w:rPr>
        <w:t xml:space="preserve">– </w:t>
      </w:r>
      <w:r>
        <w:rPr>
          <w:rFonts w:ascii="Calibri" w:hAnsi="Calibri"/>
        </w:rPr>
        <w:t>UNESCO svjetska baština, glacijalnog porekla, sa brojnim ledničkim jezerima (Crno, Zminje,) . Kanjon Tare je najdublji u Evropi i drugi u svijetu, nakon Velikog kanjona.</w:t>
      </w:r>
    </w:p>
    <w:p>
      <w:pPr>
        <w:pStyle w:val="BodyText"/>
        <w:numPr>
          <w:ilvl w:val="0"/>
          <w:numId w:val="0"/>
        </w:numPr>
        <w:ind w:hanging="0" w:left="0"/>
        <w:jc w:val="both"/>
        <w:rPr>
          <w:rFonts w:ascii="Calibri" w:hAnsi="Calibri"/>
        </w:rPr>
      </w:pPr>
      <w:r>
        <w:rPr>
          <w:rFonts w:ascii="Calibri" w:hAnsi="Calibri"/>
        </w:rPr>
      </w:r>
    </w:p>
    <w:p>
      <w:pPr>
        <w:pStyle w:val="BodyText"/>
        <w:jc w:val="both"/>
        <w:rPr>
          <w:rFonts w:ascii="Calibri" w:hAnsi="Calibri"/>
        </w:rPr>
      </w:pPr>
      <w:r>
        <w:rPr>
          <w:rFonts w:ascii="Calibri" w:hAnsi="Calibri"/>
        </w:rPr>
        <w:t xml:space="preserve">Nacionalni park Durmitor je najveći nacionalni park u Crnoj Gori. Od 1980. godine se nalazi na UNESCO-voj listi svjetske prirodne i kulturne baštine. Obuhvata masiv planine Durmitor, kanjone rijeka: Tare, Drage, Sušice i najviši dio kanjonske doline Komarnice. Tara ima tok dug 150 kilometra i najduža je crnogorska rijeka. </w:t>
      </w:r>
    </w:p>
    <w:p>
      <w:pPr>
        <w:pStyle w:val="BodyText"/>
        <w:jc w:val="both"/>
        <w:rPr>
          <w:rFonts w:ascii="Calibri" w:hAnsi="Calibri"/>
        </w:rPr>
      </w:pPr>
      <w:r>
        <w:rPr>
          <w:rFonts w:ascii="Calibri" w:hAnsi="Calibri"/>
        </w:rPr>
        <w:t>Iz ovog planinskog masiva uzdižu se vrhovi od kojih je čak 48 ima visinu veću od 2.000 m nadmorske visine, a najviši je Bobotov kuk sa 2.523 mnv.</w:t>
      </w:r>
    </w:p>
    <w:p>
      <w:pPr>
        <w:pStyle w:val="BodyText"/>
        <w:jc w:val="both"/>
        <w:rPr>
          <w:rFonts w:ascii="Calibri" w:hAnsi="Calibri"/>
        </w:rPr>
      </w:pPr>
      <w:r>
        <w:rPr>
          <w:rFonts w:ascii="Calibri" w:hAnsi="Calibri"/>
        </w:rPr>
        <w:t>Durmitorski kraj ispunjava raznovrsno istorijsko i tradicionalno graditeljsko nasljeđe od nekropola, preko grčkih i rimskih groblja, stećaka, hrišćanskih crkvi i manastira, do današnjih seoskih kula brvnara, i na katunima savardacima, jatarama, kolibama, i na tokovima rijeka drvenim vodenicama i valjanicama.</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143500" cy="2971800"/>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6"/>
                    <a:stretch>
                      <a:fillRect/>
                    </a:stretch>
                  </pic:blipFill>
                  <pic:spPr bwMode="auto">
                    <a:xfrm>
                      <a:off x="0" y="0"/>
                      <a:ext cx="5143500" cy="2971800"/>
                    </a:xfrm>
                    <a:prstGeom prst="rect">
                      <a:avLst/>
                    </a:prstGeom>
                  </pic:spPr>
                </pic:pic>
              </a:graphicData>
            </a:graphic>
          </wp:anchor>
        </w:drawing>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
    </w:p>
    <w:p>
      <w:pPr>
        <w:pStyle w:val="BodyText"/>
        <w:jc w:val="both"/>
        <w:rPr>
          <w:rFonts w:ascii="Calibri" w:hAnsi="Calibri"/>
        </w:rPr>
      </w:pPr>
      <w:r>
        <w:rPr>
          <w:rFonts w:ascii="Calibri" w:hAnsi="Calibri"/>
        </w:rPr>
        <w:tab/>
        <w:t>Na Durmitoru se nalaze i 18 ledničkih jezera nazvanih „Gorske oči“. Ona leže u udubljenjima iz kojih su polazili planinski lednici a naziv „Gorske oči“ su dobila zbog svoje naročite ljepote. U zavisnosti od vremenskih prilika sva jezera su pod snegom i ledom od novembra do maja.</w:t>
      </w:r>
    </w:p>
    <w:p>
      <w:pPr>
        <w:pStyle w:val="BodyText"/>
        <w:jc w:val="both"/>
        <w:rPr>
          <w:rFonts w:ascii="Calibri" w:hAnsi="Calibri"/>
        </w:rPr>
      </w:pPr>
      <w:r>
        <w:rPr>
          <w:rFonts w:ascii="Calibri" w:hAnsi="Calibri"/>
        </w:rPr>
        <w:t xml:space="preserve">                     </w:t>
      </w: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143500" cy="2971800"/>
            <wp:effectExtent l="0" t="0" r="0" b="0"/>
            <wp:wrapTopAndBottom/>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7"/>
                    <a:stretch>
                      <a:fillRect/>
                    </a:stretch>
                  </pic:blipFill>
                  <pic:spPr bwMode="auto">
                    <a:xfrm>
                      <a:off x="0" y="0"/>
                      <a:ext cx="5143500" cy="2971800"/>
                    </a:xfrm>
                    <a:prstGeom prst="rect">
                      <a:avLst/>
                    </a:prstGeom>
                  </pic:spPr>
                </pic:pic>
              </a:graphicData>
            </a:graphic>
          </wp:anchor>
        </w:drawing>
      </w:r>
      <w:r>
        <w:rPr>
          <w:rFonts w:ascii="Calibri" w:hAnsi="Calibri"/>
        </w:rPr>
        <w:t xml:space="preserve">   </w:t>
      </w:r>
    </w:p>
    <w:p>
      <w:pPr>
        <w:pStyle w:val="BodyText"/>
        <w:jc w:val="both"/>
        <w:rPr>
          <w:rFonts w:ascii="Calibri" w:hAnsi="Calibri"/>
        </w:rPr>
      </w:pPr>
      <w:r>
        <w:rPr>
          <w:rFonts w:ascii="Calibri" w:hAnsi="Calibri"/>
        </w:rPr>
        <w:t xml:space="preserve">                                                 </w:t>
      </w:r>
      <w:r>
        <w:rPr>
          <w:rFonts w:ascii="Calibri" w:hAnsi="Calibri"/>
        </w:rPr>
        <w:t>Slika 1. ( Crno jezero )</w:t>
      </w:r>
    </w:p>
    <w:p>
      <w:pPr>
        <w:pStyle w:val="BodyText"/>
        <w:jc w:val="both"/>
        <w:rPr>
          <w:rFonts w:ascii="Calibri" w:hAnsi="Calibri"/>
        </w:rPr>
      </w:pPr>
      <w:r>
        <w:rPr>
          <w:rFonts w:ascii="Calibri" w:hAnsi="Calibri"/>
        </w:rPr>
        <w:t xml:space="preserve">                      </w:t>
      </w:r>
    </w:p>
    <w:p>
      <w:pPr>
        <w:pStyle w:val="BodyText"/>
        <w:jc w:val="both"/>
        <w:rPr>
          <w:rFonts w:ascii="Calibri" w:hAnsi="Calibri"/>
        </w:rPr>
      </w:pPr>
      <w:r>
        <w:rPr>
          <w:rFonts w:ascii="Calibri" w:hAnsi="Calibri"/>
        </w:rPr>
        <w:t xml:space="preserve">                   </w:t>
      </w:r>
    </w:p>
    <w:p>
      <w:pPr>
        <w:pStyle w:val="BodyText"/>
        <w:jc w:val="both"/>
        <w:rPr>
          <w:rFonts w:ascii="Calibri" w:hAnsi="Calibri"/>
        </w:rPr>
      </w:pPr>
      <w:r>
        <w:rPr>
          <w:rFonts w:ascii="Calibri" w:hAnsi="Calibri"/>
        </w:rPr>
        <w:t>Rijeka Tara, jedna od najljepših crnogorskih rijeka, protiče kroz izuzetno slikovit pejzaž, smješten između planinskih masiva Bjelašnice, Sinjajevine, Ljubišnje i Durmitora. Njeno korito oblikuje jedan od najimpresivnijih kanjona u svijetu – kanjon Tare, koji se proteže na dubinu od 1.600 metara. Ovaj kanjon je najdublji u Evropi, dok je na svjetskom nivou odmah iza čuvenog kanjona rijeke Kolorado u Sjedinjenim Američkim Državama.</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t>Zahvaljujući izuzetnom biodiverzitetu, kanjon rijeke Tare proglašen je Svjetskim ekološkim rezervatom. Na njegovom prostoru zabilježeno je više od 1.500 biljnih i 130 ptičjih vrsta, uključujući brojne endemske, ljekovite i reliktne biljke. Ovaj prirodni ambijent predstavlja ne samo izuzetnu ekološku vrijednost, već i značajan turistički resurs.</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t>Jedna od najatraktivnijih aktivnosti u okviru Nacionalnog parka Durmitor jeste splavarenje (rafting) rijekom Tarom. Tokom turističke sezone, od 1. jula do 15. septembra, kada je vodostaj najpovoljniji, moguće je splavariti kroz čak 90% kanjona. Rafting na Tari pruža jedinstven doživljaj, a voda rijeke, poznata po svojoj izuzetnoj čistoći, često se opisuje izrazom „čista kao suza“. Upravo zbog te karakteristike, Tara je poznata i pod nazivom „Suza Evrope“.</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2805430" cy="2805430"/>
            <wp:effectExtent l="0" t="0" r="0" b="0"/>
            <wp:wrapTopAndBottom/>
            <wp:docPr id="4" name="Image3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descr=""/>
                    <pic:cNvPicPr>
                      <a:picLocks noChangeAspect="1" noChangeArrowheads="1"/>
                    </pic:cNvPicPr>
                  </pic:nvPicPr>
                  <pic:blipFill>
                    <a:blip r:embed="rId8"/>
                    <a:stretch>
                      <a:fillRect/>
                    </a:stretch>
                  </pic:blipFill>
                  <pic:spPr bwMode="auto">
                    <a:xfrm>
                      <a:off x="0" y="0"/>
                      <a:ext cx="2805430" cy="2805430"/>
                    </a:xfrm>
                    <a:prstGeom prst="rect">
                      <a:avLst/>
                    </a:prstGeom>
                  </pic:spPr>
                </pic:pic>
              </a:graphicData>
            </a:graphic>
          </wp:anchor>
        </w:drawing>
      </w:r>
    </w:p>
    <w:p>
      <w:pPr>
        <w:pStyle w:val="BodyText"/>
        <w:jc w:val="both"/>
        <w:rPr>
          <w:rFonts w:ascii="Calibri" w:hAnsi="Calibri"/>
        </w:rPr>
      </w:pPr>
      <w:r>
        <w:rPr>
          <w:rFonts w:ascii="Calibri" w:hAnsi="Calibri"/>
        </w:rPr>
        <w:t>Pored raftinga, Tara nudi i mogućnosti za sportski ribolov, posebno na pastrmku. Uz odgovarajuće dozvole, moguće je uloviti do tri primjerka ove ribe, koju posjetioci mogu pripremiti u lokalnim restoranima i konobama.</w:t>
      </w:r>
    </w:p>
    <w:p>
      <w:pPr>
        <w:pStyle w:val="BodyText"/>
        <w:jc w:val="both"/>
        <w:rPr>
          <w:rFonts w:ascii="Calibri" w:hAnsi="Calibri"/>
        </w:rPr>
      </w:pPr>
      <w:r>
        <w:rPr>
          <w:rFonts w:ascii="Calibri" w:hAnsi="Calibri"/>
        </w:rPr>
        <w:t xml:space="preserve"> </w:t>
      </w:r>
      <w:r>
        <w:rPr>
          <w:rFonts w:ascii="Calibri" w:hAnsi="Calibri"/>
        </w:rPr>
        <w:t>Ovi ugostiteljski objekti često su građeni u tradicionalnom crnogorskom stilu, koristeći kamen i drvo, i predstavljaju autentični ambijent za uživanje u nacionalnoj kuhinji. Po starom običaju, gosti se dočekuju domaćom rakijom, priganicama i medom, uz toplu dobrodošlicu lokalnih domaćina. Ovakav pristup dodatno obogaćuje turističku ponudu i doprinosi cjelokupnom doživljaju boravka u ovom dijelu Crne Gore.</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Heading2"/>
        <w:numPr>
          <w:ilvl w:val="0"/>
          <w:numId w:val="0"/>
        </w:numPr>
        <w:ind w:hanging="0" w:left="120"/>
        <w:rPr/>
      </w:pPr>
      <w:bookmarkStart w:id="8" w:name="__RefHeading___Toc4473_776530240"/>
      <w:bookmarkEnd w:id="8"/>
      <w:r>
        <w:rPr>
          <w:rStyle w:val="Strong"/>
          <w:rFonts w:ascii="Calibri" w:hAnsi="Calibri"/>
          <w:b/>
          <w:bCs/>
        </w:rPr>
        <w:t>3.2. Prokletije</w:t>
      </w:r>
      <w:r>
        <w:rPr>
          <w:rFonts w:ascii="Calibri" w:hAnsi="Calibri"/>
        </w:rPr>
        <w:t xml:space="preserve"> </w:t>
      </w:r>
    </w:p>
    <w:p>
      <w:pPr>
        <w:pStyle w:val="BodyText"/>
        <w:numPr>
          <w:ilvl w:val="0"/>
          <w:numId w:val="0"/>
        </w:numPr>
        <w:tabs>
          <w:tab w:val="clear" w:pos="709"/>
          <w:tab w:val="left" w:pos="0" w:leader="none"/>
        </w:tabs>
        <w:ind w:hanging="0" w:left="0"/>
        <w:rPr>
          <w:rFonts w:ascii="Calibri" w:hAnsi="Calibri"/>
        </w:rPr>
      </w:pPr>
      <w:r>
        <w:rPr>
          <w:rFonts w:ascii="Calibri" w:hAnsi="Calibri"/>
        </w:rPr>
      </w:r>
    </w:p>
    <w:p>
      <w:pPr>
        <w:pStyle w:val="BodyText"/>
        <w:numPr>
          <w:ilvl w:val="0"/>
          <w:numId w:val="0"/>
        </w:numPr>
        <w:tabs>
          <w:tab w:val="clear" w:pos="709"/>
          <w:tab w:val="left" w:pos="0" w:leader="none"/>
        </w:tabs>
        <w:ind w:hanging="0" w:left="0"/>
        <w:rPr>
          <w:rFonts w:ascii="Calibri" w:hAnsi="Calibri"/>
        </w:rPr>
      </w:pPr>
      <w:r>
        <w:rPr>
          <w:rFonts w:ascii="Calibri" w:hAnsi="Calibri"/>
        </w:rPr>
        <w:t>Najdramatičniji planinski lanac Crne Gore, sa brojnim cirkovima,   dolinama i krševitim vrhovima. Hridsko i Ropojansko jezero su primjeri glacijalnih formacija.</w:t>
      </w:r>
    </w:p>
    <w:p>
      <w:pPr>
        <w:pStyle w:val="BodyText"/>
        <w:jc w:val="both"/>
        <w:rPr/>
      </w:pPr>
      <w:r>
        <w:rPr>
          <w:rFonts w:ascii="Calibri" w:hAnsi="Calibri"/>
          <w:b/>
        </w:rPr>
        <w:t>Prokletije</w:t>
      </w:r>
      <w:r>
        <w:rPr>
          <w:rFonts w:ascii="Calibri" w:hAnsi="Calibri"/>
        </w:rPr>
        <w:t xml:space="preserve"> su planinski venac u istočnoj Crnoj Gori  i severnoj  Albaniji. Prokletije su visok </w:t>
      </w:r>
      <w:hyperlink r:id="rId9">
        <w:r>
          <w:rPr>
            <w:rStyle w:val="Hyperlink"/>
            <w:rFonts w:ascii="Calibri" w:hAnsi="Calibri"/>
          </w:rPr>
          <w:t>planinski venac</w:t>
        </w:r>
      </w:hyperlink>
      <w:r>
        <w:rPr>
          <w:rFonts w:ascii="Calibri" w:hAnsi="Calibri"/>
        </w:rPr>
        <w:t xml:space="preserve"> na jugoistočnom rubu </w:t>
      </w:r>
      <w:hyperlink r:id="rId10">
        <w:r>
          <w:rPr>
            <w:rStyle w:val="Hyperlink"/>
            <w:rFonts w:ascii="Calibri" w:hAnsi="Calibri"/>
          </w:rPr>
          <w:t>Dinarskog planinskog sistema</w:t>
        </w:r>
      </w:hyperlink>
      <w:r>
        <w:rPr>
          <w:rFonts w:ascii="Calibri" w:hAnsi="Calibri"/>
        </w:rPr>
        <w:t>. Gorostasni masiv ukupne dužine od 417 km pruža se na području Crne Gore  ali zahvata i manji deo Albanije. Zapravo, nesvakidašnji greben, bogat kristalnočistim planinskim rekama, jezerima i dolinama iznad kojih ponosno dominiraju surovi venci, čini prirodnu granicu između ovih država. Prostire se od Skadarskog jezera na zapadu, </w:t>
      </w:r>
      <w:r>
        <w:rPr>
          <w:rFonts w:ascii="Calibri" w:hAnsi="Calibri"/>
          <w:b/>
        </w:rPr>
        <w:t>Komova i Mokre planine </w:t>
      </w:r>
      <w:r>
        <w:rPr>
          <w:rFonts w:ascii="Calibri" w:hAnsi="Calibri"/>
        </w:rPr>
        <w:t xml:space="preserve">na severu, Metohijske doline na istoku i  Drim na jugu. </w:t>
      </w:r>
    </w:p>
    <w:p>
      <w:pPr>
        <w:pStyle w:val="Normal"/>
        <w:jc w:val="both"/>
        <w:rPr/>
      </w:pPr>
      <w:r>
        <w:rPr>
          <w:rFonts w:ascii="Calibri" w:hAnsi="Calibri"/>
        </w:rPr>
        <w:t xml:space="preserve">U geografskoj literaturi preovlađuju mišljenja da su Prokletije završne planine dinarskog planinskog sistema. Istina, Prokletije imaju niz zajedničkih karakteristika sa planinama ovog sistema. Međutim, među geolozima i geografima postoje i mišljenja da su Prokletije samostalan planinski sistem. </w:t>
      </w:r>
      <w:hyperlink r:id="rId11">
        <w:r>
          <w:rPr>
            <w:rStyle w:val="Hyperlink"/>
            <w:rFonts w:ascii="Calibri" w:hAnsi="Calibri"/>
          </w:rPr>
          <w:t>Jovan Cvijić</w:t>
        </w:r>
      </w:hyperlink>
      <w:r>
        <w:rPr>
          <w:rFonts w:ascii="Calibri" w:hAnsi="Calibri"/>
        </w:rPr>
        <w:t xml:space="preserve"> je među prvima ukazao na geografsku individualnost prokletijske planinske grupe. Osnovni kriterijumi za izdvajanje Prokletija u samostalan geološki i geomorfološki planinski kompleks svakako su facijalno-stratigrafski karakter i pravac pružanja glavnog grebena.</w:t>
      </w:r>
    </w:p>
    <w:p>
      <w:pPr>
        <w:pStyle w:val="Normal"/>
        <w:jc w:val="both"/>
        <w:rPr>
          <w:rFonts w:ascii="Calibri" w:hAnsi="Calibri"/>
        </w:rPr>
      </w:pPr>
      <w:r>
        <w:rPr>
          <w:rFonts w:ascii="Calibri" w:hAnsi="Calibri"/>
        </w:rPr>
      </w:r>
    </w:p>
    <w:p>
      <w:pPr>
        <w:pStyle w:val="BodyText"/>
        <w:rPr/>
      </w:pPr>
      <w:r>
        <w:rPr>
          <w:rFonts w:ascii="Calibri" w:hAnsi="Calibri"/>
        </w:rPr>
        <w:t xml:space="preserve">Najviši vrh Prokletija   Jezerski vrh 2694 m je istovremeno i najviši vrh </w:t>
      </w:r>
      <w:hyperlink r:id="rId12">
        <w:r>
          <w:rPr>
            <w:rStyle w:val="Hyperlink"/>
            <w:rFonts w:ascii="Calibri" w:hAnsi="Calibri"/>
          </w:rPr>
          <w:t>Dinarskih planina</w:t>
        </w:r>
      </w:hyperlink>
      <w:r>
        <w:rPr>
          <w:rFonts w:ascii="Calibri" w:hAnsi="Calibri"/>
        </w:rPr>
        <w:t xml:space="preserve">. Najveći deo planine sa severne strane je prirodni park koji zauzima oko 1700 km². </w:t>
      </w:r>
    </w:p>
    <w:p>
      <w:pPr>
        <w:pStyle w:val="BodyText"/>
        <w:rPr>
          <w:rFonts w:ascii="Calibri" w:hAnsi="Calibri"/>
        </w:rPr>
      </w:pPr>
      <w:r>
        <w:rPr>
          <w:rFonts w:ascii="Calibri" w:hAnsi="Calibri"/>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3931920" cy="2407920"/>
            <wp:effectExtent l="0" t="0" r="0" b="0"/>
            <wp:wrapTopAndBottom/>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3"/>
                    <a:stretch>
                      <a:fillRect/>
                    </a:stretch>
                  </pic:blipFill>
                  <pic:spPr bwMode="auto">
                    <a:xfrm>
                      <a:off x="0" y="0"/>
                      <a:ext cx="3931920" cy="2407920"/>
                    </a:xfrm>
                    <a:prstGeom prst="rect">
                      <a:avLst/>
                    </a:prstGeom>
                  </pic:spPr>
                </pic:pic>
              </a:graphicData>
            </a:graphic>
          </wp:anchor>
        </w:drawing>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Normal"/>
        <w:widowControl/>
        <w:spacing w:lineRule="auto" w:line="240"/>
        <w:ind w:hanging="0" w:left="0" w:right="0"/>
        <w:jc w:val="both"/>
        <w:rPr>
          <w:rFonts w:ascii="Calibri" w:hAnsi="Calibri"/>
          <w:b w:val="false"/>
          <w:i w:val="false"/>
          <w:i w:val="false"/>
          <w:caps w:val="false"/>
          <w:smallCaps w:val="false"/>
          <w:color w:val="202122"/>
          <w:spacing w:val="0"/>
          <w:sz w:val="24"/>
        </w:rPr>
      </w:pPr>
      <w:r>
        <w:rPr>
          <w:rFonts w:ascii="Calibri" w:hAnsi="Calibri"/>
          <w:b w:val="false"/>
          <w:i w:val="false"/>
          <w:caps w:val="false"/>
          <w:smallCaps w:val="false"/>
          <w:color w:val="202122"/>
          <w:spacing w:val="0"/>
          <w:sz w:val="24"/>
        </w:rPr>
      </w:r>
    </w:p>
    <w:p>
      <w:pPr>
        <w:pStyle w:val="Normal"/>
        <w:widowControl/>
        <w:spacing w:lineRule="auto" w:line="240"/>
        <w:ind w:hanging="0" w:left="0" w:right="0"/>
        <w:jc w:val="both"/>
        <w:rPr>
          <w:rFonts w:ascii="Calibri" w:hAnsi="Calibri"/>
          <w:b w:val="false"/>
          <w:i w:val="false"/>
          <w:i w:val="false"/>
          <w:caps w:val="false"/>
          <w:smallCaps w:val="false"/>
          <w:color w:val="202122"/>
          <w:spacing w:val="0"/>
          <w:sz w:val="24"/>
        </w:rPr>
      </w:pPr>
      <w:r>
        <w:rPr>
          <w:rFonts w:ascii="Calibri" w:hAnsi="Calibri"/>
          <w:b w:val="false"/>
          <w:i w:val="false"/>
          <w:caps w:val="false"/>
          <w:smallCaps w:val="false"/>
          <w:color w:val="202122"/>
          <w:spacing w:val="0"/>
          <w:sz w:val="24"/>
        </w:rPr>
      </w:r>
    </w:p>
    <w:p>
      <w:pPr>
        <w:pStyle w:val="Normal"/>
        <w:widowControl/>
        <w:spacing w:lineRule="auto" w:line="240"/>
        <w:ind w:hanging="0" w:left="0" w:right="0"/>
        <w:jc w:val="both"/>
        <w:rPr/>
      </w:pPr>
      <w:r>
        <w:rPr>
          <w:rFonts w:ascii="Calibri" w:hAnsi="Calibri"/>
          <w:b w:val="false"/>
          <w:i w:val="false"/>
          <w:caps w:val="false"/>
          <w:smallCaps w:val="false"/>
          <w:color w:val="202122"/>
          <w:spacing w:val="0"/>
          <w:sz w:val="24"/>
        </w:rPr>
        <w:t>Nacionalni park Prokletije</w:t>
      </w:r>
      <w:r>
        <w:rPr>
          <w:rFonts w:ascii="Calibri" w:hAnsi="Calibri"/>
          <w:caps w:val="false"/>
          <w:smallCaps w:val="false"/>
          <w:color w:val="202122"/>
          <w:spacing w:val="0"/>
        </w:rPr>
        <w:t> </w:t>
      </w:r>
      <w:r>
        <w:rPr>
          <w:rFonts w:ascii="Calibri" w:hAnsi="Calibri"/>
          <w:b w:val="false"/>
          <w:i w:val="false"/>
          <w:caps w:val="false"/>
          <w:smallCaps w:val="false"/>
          <w:color w:val="202122"/>
          <w:spacing w:val="0"/>
          <w:sz w:val="24"/>
        </w:rPr>
        <w:t>je peti </w:t>
      </w:r>
      <w:r>
        <w:rPr>
          <w:rFonts w:ascii="Calibri" w:hAnsi="Calibri"/>
          <w:b w:val="false"/>
          <w:i w:val="false"/>
          <w:caps w:val="false"/>
          <w:smallCaps w:val="false"/>
          <w:strike w:val="false"/>
          <w:dstrike w:val="false"/>
          <w:color w:val="202122"/>
          <w:spacing w:val="0"/>
          <w:sz w:val="24"/>
          <w:u w:val="none"/>
          <w:effect w:val="none"/>
          <w:shd w:fill="FFFFFF" w:val="clear"/>
        </w:rPr>
        <w:t xml:space="preserve">nacionalni park </w:t>
      </w:r>
      <w:r>
        <w:rPr>
          <w:rFonts w:ascii="Calibri" w:hAnsi="Calibri"/>
          <w:caps w:val="false"/>
          <w:smallCaps w:val="false"/>
          <w:color w:val="202122"/>
          <w:spacing w:val="0"/>
        </w:rPr>
        <w:t> </w:t>
      </w:r>
      <w:r>
        <w:rPr>
          <w:rFonts w:ascii="Calibri" w:hAnsi="Calibri"/>
          <w:b w:val="false"/>
          <w:i w:val="false"/>
          <w:caps w:val="false"/>
          <w:smallCaps w:val="false"/>
          <w:color w:val="202122"/>
          <w:spacing w:val="0"/>
          <w:sz w:val="24"/>
        </w:rPr>
        <w:t>u </w:t>
      </w:r>
      <w:r>
        <w:rPr>
          <w:rFonts w:ascii="Calibri" w:hAnsi="Calibri"/>
          <w:b w:val="false"/>
          <w:i w:val="false"/>
          <w:caps w:val="false"/>
          <w:smallCaps w:val="false"/>
          <w:strike w:val="false"/>
          <w:dstrike w:val="false"/>
          <w:color w:val="202122"/>
          <w:spacing w:val="0"/>
          <w:sz w:val="24"/>
          <w:u w:val="none"/>
          <w:effect w:val="none"/>
          <w:shd w:fill="FFFFFF" w:val="clear"/>
        </w:rPr>
        <w:t xml:space="preserve">Crnoj gori </w:t>
      </w:r>
      <w:r>
        <w:rPr>
          <w:rFonts w:ascii="Calibri" w:hAnsi="Calibri"/>
          <w:b w:val="false"/>
          <w:i w:val="false"/>
          <w:caps w:val="false"/>
          <w:smallCaps w:val="false"/>
          <w:color w:val="202122"/>
          <w:spacing w:val="0"/>
          <w:sz w:val="24"/>
        </w:rPr>
        <w:t>, proglašen </w:t>
      </w:r>
      <w:r>
        <w:rPr>
          <w:rFonts w:ascii="Calibri" w:hAnsi="Calibri"/>
          <w:b w:val="false"/>
          <w:i w:val="false"/>
          <w:caps w:val="false"/>
          <w:smallCaps w:val="false"/>
          <w:strike w:val="false"/>
          <w:dstrike w:val="false"/>
          <w:color w:val="202122"/>
          <w:spacing w:val="0"/>
          <w:sz w:val="24"/>
          <w:u w:val="none"/>
          <w:effect w:val="none"/>
          <w:shd w:fill="FFFFFF" w:val="clear"/>
        </w:rPr>
        <w:t>2009</w:t>
      </w:r>
      <w:r>
        <w:rPr>
          <w:rFonts w:ascii="Calibri" w:hAnsi="Calibri"/>
          <w:b w:val="false"/>
          <w:i w:val="false"/>
          <w:caps w:val="false"/>
          <w:smallCaps w:val="false"/>
          <w:color w:val="202122"/>
          <w:spacing w:val="0"/>
          <w:sz w:val="24"/>
        </w:rPr>
        <w:t xml:space="preserve"> godine.  Zahvata površinu od 16.630 </w:t>
      </w:r>
      <w:r>
        <w:rPr>
          <w:rFonts w:ascii="Calibri" w:hAnsi="Calibri"/>
          <w:b w:val="false"/>
          <w:i w:val="false"/>
          <w:caps w:val="false"/>
          <w:smallCaps w:val="false"/>
          <w:strike w:val="false"/>
          <w:dstrike w:val="false"/>
          <w:color w:val="202122"/>
          <w:spacing w:val="0"/>
          <w:sz w:val="24"/>
          <w:u w:val="none"/>
          <w:effect w:val="none"/>
          <w:shd w:fill="FFFFFF" w:val="clear"/>
        </w:rPr>
        <w:t>ha</w:t>
      </w:r>
      <w:r>
        <w:rPr>
          <w:rFonts w:ascii="Calibri" w:hAnsi="Calibri"/>
          <w:caps w:val="false"/>
          <w:smallCaps w:val="false"/>
          <w:color w:val="202122"/>
          <w:spacing w:val="0"/>
        </w:rPr>
        <w:t> </w:t>
      </w:r>
      <w:r>
        <w:rPr>
          <w:rFonts w:ascii="Calibri" w:hAnsi="Calibri"/>
          <w:b w:val="false"/>
          <w:i w:val="false"/>
          <w:caps w:val="false"/>
          <w:smallCaps w:val="false"/>
          <w:color w:val="202122"/>
          <w:spacing w:val="0"/>
          <w:sz w:val="24"/>
        </w:rPr>
        <w:t>i u okviru njega su dva </w:t>
      </w:r>
      <w:r>
        <w:rPr>
          <w:rFonts w:ascii="Calibri" w:hAnsi="Calibri"/>
          <w:b w:val="false"/>
          <w:i w:val="false"/>
          <w:caps w:val="false"/>
          <w:smallCaps w:val="false"/>
          <w:strike w:val="false"/>
          <w:dstrike w:val="false"/>
          <w:color w:val="202122"/>
          <w:spacing w:val="0"/>
          <w:sz w:val="24"/>
          <w:u w:val="none"/>
          <w:effect w:val="none"/>
          <w:shd w:fill="FFFFFF" w:val="clear"/>
        </w:rPr>
        <w:t xml:space="preserve">rezervata prirode </w:t>
      </w:r>
      <w:r>
        <w:rPr>
          <w:rFonts w:ascii="Calibri" w:hAnsi="Calibri"/>
          <w:caps w:val="false"/>
          <w:smallCaps w:val="false"/>
          <w:color w:val="202122"/>
          <w:spacing w:val="0"/>
        </w:rPr>
        <w:t> — </w:t>
      </w:r>
      <w:r>
        <w:rPr>
          <w:rFonts w:ascii="Calibri" w:hAnsi="Calibri"/>
          <w:b w:val="false"/>
          <w:i w:val="false"/>
          <w:caps w:val="false"/>
          <w:smallCaps w:val="false"/>
          <w:strike w:val="false"/>
          <w:dstrike w:val="false"/>
          <w:color w:val="202122"/>
          <w:spacing w:val="0"/>
          <w:sz w:val="24"/>
          <w:u w:val="none"/>
          <w:effect w:val="none"/>
          <w:shd w:fill="FFFFFF" w:val="clear"/>
        </w:rPr>
        <w:t xml:space="preserve">Hridsko jezero </w:t>
      </w:r>
      <w:r>
        <w:rPr>
          <w:rFonts w:ascii="Calibri" w:hAnsi="Calibri"/>
          <w:b w:val="false"/>
          <w:i w:val="false"/>
          <w:caps w:val="false"/>
          <w:smallCaps w:val="false"/>
          <w:color w:val="202122"/>
          <w:spacing w:val="0"/>
          <w:sz w:val="24"/>
        </w:rPr>
        <w:t>i Volušnica.  Zona zaštite oko </w:t>
      </w:r>
      <w:r>
        <w:rPr>
          <w:rFonts w:ascii="Calibri" w:hAnsi="Calibri"/>
          <w:b w:val="false"/>
          <w:i w:val="false"/>
          <w:caps w:val="false"/>
          <w:smallCaps w:val="false"/>
          <w:strike w:val="false"/>
          <w:dstrike w:val="false"/>
          <w:color w:val="202122"/>
          <w:spacing w:val="0"/>
          <w:sz w:val="24"/>
          <w:u w:val="none"/>
          <w:effect w:val="none"/>
          <w:shd w:fill="FFFFFF" w:val="clear"/>
        </w:rPr>
        <w:t xml:space="preserve">parka </w:t>
      </w:r>
      <w:r>
        <w:rPr>
          <w:rFonts w:ascii="Calibri" w:hAnsi="Calibri"/>
          <w:caps w:val="false"/>
          <w:smallCaps w:val="false"/>
          <w:color w:val="202122"/>
          <w:spacing w:val="0"/>
        </w:rPr>
        <w:t> </w:t>
      </w:r>
      <w:r>
        <w:rPr>
          <w:rFonts w:ascii="Calibri" w:hAnsi="Calibri"/>
          <w:b w:val="false"/>
          <w:i w:val="false"/>
          <w:caps w:val="false"/>
          <w:smallCaps w:val="false"/>
          <w:color w:val="202122"/>
          <w:spacing w:val="0"/>
          <w:sz w:val="24"/>
        </w:rPr>
        <w:t>je 6.252 ha. Prokletije se odlikuju karakterističnim </w:t>
      </w:r>
      <w:hyperlink r:id="rId14">
        <w:r>
          <w:rPr>
            <w:rStyle w:val="Hyperlink"/>
            <w:rFonts w:ascii="Calibri" w:hAnsi="Calibri"/>
            <w:b w:val="false"/>
            <w:i w:val="false"/>
            <w:caps w:val="false"/>
            <w:smallCaps w:val="false"/>
            <w:strike w:val="false"/>
            <w:dstrike w:val="false"/>
            <w:spacing w:val="0"/>
            <w:sz w:val="24"/>
            <w:u w:val="none"/>
            <w:effect w:val="none"/>
            <w:shd w:fill="FFFFFF" w:val="clear"/>
          </w:rPr>
          <w:t>krečnjačkim</w:t>
        </w:r>
      </w:hyperlink>
      <w:r>
        <w:rPr>
          <w:rFonts w:ascii="Calibri" w:hAnsi="Calibri"/>
          <w:caps w:val="false"/>
          <w:smallCaps w:val="false"/>
          <w:color w:val="202122"/>
          <w:spacing w:val="0"/>
        </w:rPr>
        <w:t> </w:t>
      </w:r>
      <w:hyperlink r:id="rId15">
        <w:r>
          <w:rPr>
            <w:rStyle w:val="Hyperlink"/>
            <w:rFonts w:ascii="Calibri" w:hAnsi="Calibri"/>
            <w:b w:val="false"/>
            <w:i w:val="false"/>
            <w:caps w:val="false"/>
            <w:smallCaps w:val="false"/>
            <w:strike w:val="false"/>
            <w:dstrike w:val="false"/>
            <w:spacing w:val="0"/>
            <w:sz w:val="24"/>
            <w:u w:val="none"/>
            <w:effect w:val="none"/>
            <w:shd w:fill="FFFFFF" w:val="clear"/>
          </w:rPr>
          <w:t>reljefom</w:t>
        </w:r>
      </w:hyperlink>
      <w:r>
        <w:rPr>
          <w:rFonts w:ascii="Calibri" w:hAnsi="Calibri"/>
          <w:caps w:val="false"/>
          <w:smallCaps w:val="false"/>
          <w:color w:val="202122"/>
          <w:spacing w:val="0"/>
        </w:rPr>
        <w:t> </w:t>
      </w:r>
      <w:r>
        <w:rPr>
          <w:rFonts w:ascii="Calibri" w:hAnsi="Calibri"/>
          <w:b w:val="false"/>
          <w:i w:val="false"/>
          <w:caps w:val="false"/>
          <w:smallCaps w:val="false"/>
          <w:color w:val="202122"/>
          <w:spacing w:val="0"/>
          <w:sz w:val="24"/>
        </w:rPr>
        <w:t>i lepotama koji su uticali na proglašenje za zaštićeno područje od nacionalnog značaja.</w:t>
      </w:r>
    </w:p>
    <w:p>
      <w:pPr>
        <w:pStyle w:val="BodyText"/>
        <w:jc w:val="both"/>
        <w:rPr>
          <w:rFonts w:ascii="Calibri" w:hAnsi="Calibri"/>
          <w:b/>
          <w:sz w:val="20"/>
          <w:szCs w:val="20"/>
        </w:rPr>
      </w:pPr>
      <w:r>
        <w:rPr>
          <w:rFonts w:ascii="Calibri" w:hAnsi="Calibri"/>
          <w:b/>
          <w:sz w:val="20"/>
          <w:szCs w:val="20"/>
        </w:rPr>
      </w:r>
    </w:p>
    <w:p>
      <w:pPr>
        <w:pStyle w:val="BodyText"/>
        <w:jc w:val="both"/>
        <w:rPr/>
      </w:pPr>
      <w:r>
        <w:rPr>
          <w:rFonts w:ascii="Calibri" w:hAnsi="Calibri"/>
          <w:b/>
          <w:sz w:val="24"/>
          <w:szCs w:val="24"/>
        </w:rPr>
        <w:t>Hridsko jezero</w:t>
      </w:r>
      <w:r>
        <w:rPr>
          <w:rFonts w:ascii="Calibri" w:hAnsi="Calibri"/>
          <w:sz w:val="24"/>
          <w:szCs w:val="24"/>
        </w:rPr>
        <w:t xml:space="preserve"> je jedno od najljepših jezera u </w:t>
      </w:r>
      <w:hyperlink r:id="rId16">
        <w:r>
          <w:rPr>
            <w:rStyle w:val="Hyperlink"/>
            <w:rFonts w:ascii="Calibri" w:hAnsi="Calibri"/>
            <w:sz w:val="24"/>
            <w:szCs w:val="24"/>
          </w:rPr>
          <w:t>Crnoj Gori</w:t>
        </w:r>
      </w:hyperlink>
      <w:r>
        <w:rPr>
          <w:rFonts w:ascii="Calibri" w:hAnsi="Calibri"/>
          <w:sz w:val="24"/>
          <w:szCs w:val="24"/>
        </w:rPr>
        <w:t xml:space="preserve">. </w:t>
      </w:r>
    </w:p>
    <w:p>
      <w:pPr>
        <w:pStyle w:val="BodyText"/>
        <w:jc w:val="both"/>
        <w:rPr/>
      </w:pPr>
      <w:r>
        <w:rPr>
          <w:rFonts w:ascii="Calibri" w:hAnsi="Calibri"/>
          <w:sz w:val="24"/>
          <w:szCs w:val="24"/>
        </w:rPr>
        <w:t xml:space="preserve">Hridsko jezero ili "jezero sreće" nalazi se na sjeverozapadnoj strani </w:t>
      </w:r>
      <w:hyperlink r:id="rId17">
        <w:r>
          <w:rPr>
            <w:rStyle w:val="Hyperlink"/>
            <w:rFonts w:ascii="Calibri" w:hAnsi="Calibri"/>
            <w:sz w:val="24"/>
            <w:szCs w:val="24"/>
          </w:rPr>
          <w:t>Prokletija</w:t>
        </w:r>
      </w:hyperlink>
      <w:r>
        <w:rPr>
          <w:rFonts w:ascii="Calibri" w:hAnsi="Calibri"/>
          <w:sz w:val="24"/>
          <w:szCs w:val="24"/>
        </w:rPr>
        <w:t xml:space="preserve">, na skoro 2000m nadmorske visine. Narodno vjerovanje je da kupanje u bistroj vodi Hridskog jezera donosi zdravlje i sreću u braku. Takođe se veruje da pri odlasku, uz misao na željeno, neki komad nakita valja (za sreću) baciti u jezero. </w:t>
      </w:r>
    </w:p>
    <w:p>
      <w:pPr>
        <w:pStyle w:val="BodyText"/>
        <w:jc w:val="both"/>
        <w:rPr/>
      </w:pPr>
      <w:r>
        <w:rPr>
          <w:rFonts w:ascii="Calibri" w:hAnsi="Calibri"/>
          <w:sz w:val="24"/>
          <w:szCs w:val="24"/>
        </w:rPr>
        <w:t xml:space="preserve">Od </w:t>
      </w:r>
      <w:hyperlink r:id="rId18">
        <w:r>
          <w:rPr>
            <w:rStyle w:val="Hyperlink"/>
            <w:rFonts w:ascii="Calibri" w:hAnsi="Calibri"/>
            <w:sz w:val="24"/>
            <w:szCs w:val="24"/>
          </w:rPr>
          <w:t>Plava</w:t>
        </w:r>
      </w:hyperlink>
      <w:r>
        <w:rPr>
          <w:rFonts w:ascii="Calibri" w:hAnsi="Calibri"/>
          <w:sz w:val="24"/>
          <w:szCs w:val="24"/>
        </w:rPr>
        <w:t xml:space="preserve"> do Hridskog jezera može se doći putem, ali je bolje poslednju etapu prepješačiti, jer snjegovi prilično oštete šumski put. Njegova dužina je oko 300 metara, širina oko 160. Ljeti je duboko oko pet metara, a u ostalom dijelu godine znatno više zbog padavina i otapanja snijega. Zimi, prekriva ga debeli sloj leda. </w:t>
      </w:r>
    </w:p>
    <w:p>
      <w:pPr>
        <w:pStyle w:val="BodyText"/>
        <w:jc w:val="both"/>
        <w:rPr>
          <w:rFonts w:ascii="Calibri" w:hAnsi="Calibri"/>
          <w:sz w:val="24"/>
          <w:szCs w:val="24"/>
        </w:rPr>
      </w:pPr>
      <w:r>
        <w:rPr>
          <w:rFonts w:ascii="Calibri" w:hAnsi="Calibri"/>
          <w:sz w:val="24"/>
          <w:szCs w:val="24"/>
        </w:rPr>
      </w:r>
    </w:p>
    <w:p>
      <w:pPr>
        <w:pStyle w:val="BodyText"/>
        <w:jc w:val="both"/>
        <w:rPr/>
      </w:pPr>
      <w:r>
        <w:rPr>
          <w:rFonts w:ascii="Calibri" w:hAnsi="Calibri"/>
          <w:sz w:val="24"/>
          <w:szCs w:val="24"/>
        </w:rPr>
        <w:t>…</w:t>
      </w:r>
      <w:r>
        <w:rPr>
          <w:rFonts w:ascii="Calibri" w:hAnsi="Calibri"/>
          <w:sz w:val="24"/>
          <w:szCs w:val="24"/>
        </w:rPr>
        <w:t>. slika...</w:t>
      </w:r>
    </w:p>
    <w:p>
      <w:pPr>
        <w:pStyle w:val="BodyText"/>
        <w:jc w:val="both"/>
        <w:rPr>
          <w:rFonts w:ascii="Calibri" w:hAnsi="Calibri"/>
          <w:sz w:val="24"/>
          <w:szCs w:val="24"/>
        </w:rPr>
      </w:pPr>
      <w:r>
        <w:rPr>
          <w:rFonts w:ascii="Calibri" w:hAnsi="Calibri"/>
          <w:sz w:val="24"/>
          <w:szCs w:val="24"/>
        </w:rPr>
      </w:r>
    </w:p>
    <w:p>
      <w:pPr>
        <w:pStyle w:val="BodyText"/>
        <w:jc w:val="both"/>
        <w:rPr>
          <w:rFonts w:ascii="Calibri" w:hAnsi="Calibri"/>
          <w:sz w:val="24"/>
          <w:szCs w:val="24"/>
        </w:rPr>
      </w:pPr>
      <w:r>
        <w:rPr>
          <w:rFonts w:ascii="Calibri" w:hAnsi="Calibri"/>
          <w:sz w:val="24"/>
          <w:szCs w:val="24"/>
        </w:rPr>
      </w:r>
    </w:p>
    <w:p>
      <w:pPr>
        <w:pStyle w:val="BodyText"/>
        <w:jc w:val="both"/>
        <w:rPr>
          <w:rFonts w:ascii="Calibri" w:hAnsi="Calibri"/>
        </w:rPr>
      </w:pPr>
      <w:r>
        <w:rPr>
          <w:rFonts w:ascii="Calibri" w:hAnsi="Calibri"/>
        </w:rPr>
      </w:r>
    </w:p>
    <w:p>
      <w:pPr>
        <w:pStyle w:val="Heading2"/>
        <w:numPr>
          <w:ilvl w:val="0"/>
          <w:numId w:val="0"/>
        </w:numPr>
        <w:ind w:hanging="0" w:left="120"/>
        <w:rPr/>
      </w:pPr>
      <w:bookmarkStart w:id="9" w:name="__RefHeading___Toc11763_776530240"/>
      <w:bookmarkEnd w:id="9"/>
      <w:r>
        <w:rPr>
          <w:rStyle w:val="Strong"/>
          <w:rFonts w:ascii="Calibri" w:hAnsi="Calibri"/>
          <w:b/>
          <w:bCs/>
        </w:rPr>
        <w:t>3.3. Bjelasica</w:t>
      </w:r>
    </w:p>
    <w:p>
      <w:pPr>
        <w:pStyle w:val="Heading2"/>
        <w:numPr>
          <w:ilvl w:val="0"/>
          <w:numId w:val="0"/>
        </w:numPr>
        <w:ind w:hanging="0" w:left="120"/>
        <w:rPr>
          <w:rStyle w:val="Strong"/>
          <w:rFonts w:ascii="Calibri" w:hAnsi="Calibri"/>
          <w:b w:val="false"/>
          <w:bCs w:val="false"/>
        </w:rPr>
      </w:pPr>
      <w:r>
        <w:rPr>
          <w:rFonts w:ascii="Calibri" w:hAnsi="Calibri"/>
          <w:b w:val="false"/>
          <w:bCs w:val="false"/>
        </w:rPr>
      </w:r>
    </w:p>
    <w:p>
      <w:pPr>
        <w:pStyle w:val="BodyText"/>
        <w:numPr>
          <w:ilvl w:val="0"/>
          <w:numId w:val="0"/>
        </w:numPr>
        <w:ind w:hanging="0" w:left="0"/>
        <w:jc w:val="both"/>
        <w:rPr/>
      </w:pPr>
      <w:r>
        <w:rPr>
          <w:rFonts w:ascii="Calibri" w:hAnsi="Calibri"/>
        </w:rPr>
        <w:t xml:space="preserve"> – </w:t>
      </w:r>
      <w:r>
        <w:rPr>
          <w:rFonts w:ascii="Calibri" w:hAnsi="Calibri"/>
        </w:rPr>
        <w:t>Planina vulkansko-glečerskog porekla, sa zaobljenim oblicima reljefa, brojnim izvorima i jezerima. Značajna zbog geološke raznovrsnosti.</w:t>
      </w:r>
    </w:p>
    <w:p>
      <w:pPr>
        <w:pStyle w:val="BodyText"/>
        <w:jc w:val="both"/>
        <w:rPr/>
      </w:pPr>
      <w:r>
        <w:rPr>
          <w:rFonts w:ascii="Calibri" w:hAnsi="Calibri"/>
        </w:rPr>
        <w:t xml:space="preserve">              </w:t>
      </w:r>
      <w:r>
        <w:rPr>
          <w:rFonts w:ascii="Calibri" w:hAnsi="Calibri"/>
        </w:rPr>
        <w:t>Biogradska gora…. Prašuma...CG--</w:t>
      </w:r>
    </w:p>
    <w:p>
      <w:pPr>
        <w:pStyle w:val="BodyText"/>
        <w:jc w:val="both"/>
        <w:rPr/>
      </w:pPr>
      <w:r>
        <w:rPr>
          <w:rFonts w:ascii="Calibri" w:hAnsi="Calibri"/>
        </w:rPr>
        <w:t>…</w:t>
      </w:r>
      <w:r>
        <w:rPr>
          <w:rFonts w:ascii="Calibri" w:hAnsi="Calibri"/>
        </w:rPr>
        <w:t>..</w:t>
      </w:r>
    </w:p>
    <w:p>
      <w:pPr>
        <w:pStyle w:val="Heading2"/>
        <w:numPr>
          <w:ilvl w:val="0"/>
          <w:numId w:val="0"/>
        </w:numPr>
        <w:ind w:hanging="0" w:left="120"/>
        <w:rPr/>
      </w:pPr>
      <w:bookmarkStart w:id="10" w:name="__RefHeading___Toc11765_776530240"/>
      <w:bookmarkEnd w:id="10"/>
      <w:r>
        <w:rPr>
          <w:rStyle w:val="Strong"/>
          <w:rFonts w:ascii="Calibri" w:hAnsi="Calibri"/>
          <w:b/>
          <w:bCs/>
        </w:rPr>
        <w:t>3.4. Đalovića pećina</w:t>
      </w:r>
    </w:p>
    <w:p>
      <w:pPr>
        <w:pStyle w:val="Heading2"/>
        <w:numPr>
          <w:ilvl w:val="0"/>
          <w:numId w:val="0"/>
        </w:numPr>
        <w:ind w:hanging="0" w:left="120"/>
        <w:rPr>
          <w:rStyle w:val="Strong"/>
          <w:rFonts w:ascii="Calibri" w:hAnsi="Calibri"/>
          <w:b w:val="false"/>
          <w:bCs w:val="false"/>
        </w:rPr>
      </w:pPr>
      <w:r>
        <w:rPr>
          <w:rFonts w:ascii="Calibri" w:hAnsi="Calibri"/>
          <w:b w:val="false"/>
          <w:bCs w:val="false"/>
        </w:rPr>
      </w:r>
    </w:p>
    <w:p>
      <w:pPr>
        <w:pStyle w:val="BodyText"/>
        <w:numPr>
          <w:ilvl w:val="0"/>
          <w:numId w:val="0"/>
        </w:numPr>
        <w:ind w:hanging="0" w:left="0"/>
        <w:jc w:val="both"/>
        <w:rPr/>
      </w:pPr>
      <w:r>
        <w:rPr>
          <w:rFonts w:ascii="Calibri" w:hAnsi="Calibri"/>
        </w:rPr>
        <w:t xml:space="preserve"> – </w:t>
      </w:r>
      <w:r>
        <w:rPr>
          <w:rFonts w:ascii="Calibri" w:hAnsi="Calibri"/>
        </w:rPr>
        <w:t>Jedna od najdužih i najsloženijih pećina u Crnoj Gori, potencijalni centar speleološkog turizma.</w:t>
      </w:r>
    </w:p>
    <w:p>
      <w:pPr>
        <w:pStyle w:val="BodyText"/>
        <w:numPr>
          <w:ilvl w:val="0"/>
          <w:numId w:val="0"/>
        </w:numPr>
        <w:ind w:hanging="0" w:left="0"/>
        <w:jc w:val="both"/>
        <w:rPr/>
      </w:pPr>
      <w:r>
        <w:rPr>
          <w:rStyle w:val="Strong"/>
          <w:rFonts w:ascii="Calibri" w:hAnsi="Calibri"/>
        </w:rPr>
        <w:t>……</w:t>
      </w:r>
    </w:p>
    <w:p>
      <w:pPr>
        <w:pStyle w:val="BodyText"/>
        <w:numPr>
          <w:ilvl w:val="0"/>
          <w:numId w:val="0"/>
        </w:numPr>
        <w:ind w:hanging="0" w:left="0"/>
        <w:rPr>
          <w:rStyle w:val="Strong"/>
        </w:rPr>
      </w:pPr>
      <w:r>
        <w:rPr/>
      </w:r>
    </w:p>
    <w:p>
      <w:pPr>
        <w:pStyle w:val="BodyText"/>
        <w:numPr>
          <w:ilvl w:val="0"/>
          <w:numId w:val="0"/>
        </w:numPr>
        <w:ind w:hanging="0" w:left="0"/>
        <w:rPr>
          <w:rStyle w:val="Strong"/>
        </w:rPr>
      </w:pPr>
      <w:r>
        <w:rPr/>
      </w:r>
    </w:p>
    <w:p>
      <w:pPr>
        <w:pStyle w:val="BodyText"/>
        <w:numPr>
          <w:ilvl w:val="0"/>
          <w:numId w:val="0"/>
        </w:numPr>
        <w:ind w:hanging="0" w:left="0"/>
        <w:rPr>
          <w:rStyle w:val="Strong"/>
        </w:rPr>
      </w:pPr>
      <w:r>
        <w:rPr/>
      </w:r>
    </w:p>
    <w:p>
      <w:pPr>
        <w:pStyle w:val="Heading2"/>
        <w:numPr>
          <w:ilvl w:val="0"/>
          <w:numId w:val="0"/>
        </w:numPr>
        <w:ind w:hanging="0" w:left="120"/>
        <w:rPr>
          <w:rStyle w:val="Strong"/>
          <w:rFonts w:ascii="Calibri" w:hAnsi="Calibri"/>
          <w:b w:val="false"/>
          <w:bCs w:val="false"/>
        </w:rPr>
      </w:pPr>
      <w:r>
        <w:rPr>
          <w:rFonts w:ascii="Calibri" w:hAnsi="Calibri"/>
          <w:b w:val="false"/>
          <w:bCs w:val="false"/>
        </w:rPr>
      </w:r>
    </w:p>
    <w:p>
      <w:pPr>
        <w:pStyle w:val="Heading2"/>
        <w:numPr>
          <w:ilvl w:val="0"/>
          <w:numId w:val="0"/>
        </w:numPr>
        <w:ind w:hanging="0" w:left="120"/>
        <w:rPr/>
      </w:pPr>
      <w:bookmarkStart w:id="11" w:name="__RefHeading___Toc11767_776530240"/>
      <w:bookmarkEnd w:id="11"/>
      <w:r>
        <w:rPr>
          <w:rStyle w:val="Strong"/>
          <w:rFonts w:ascii="Calibri" w:hAnsi="Calibri"/>
          <w:b/>
          <w:bCs/>
        </w:rPr>
        <w:t>3.5. Kanjon Nevidio</w:t>
      </w:r>
    </w:p>
    <w:p>
      <w:pPr>
        <w:pStyle w:val="BodyText"/>
        <w:numPr>
          <w:ilvl w:val="0"/>
          <w:numId w:val="0"/>
        </w:numPr>
        <w:ind w:hanging="0" w:left="0"/>
        <w:jc w:val="both"/>
        <w:rPr/>
      </w:pPr>
      <w:r>
        <w:rPr>
          <w:rFonts w:ascii="Calibri" w:hAnsi="Calibri"/>
        </w:rPr>
        <w:t xml:space="preserve"> – </w:t>
      </w:r>
      <w:r>
        <w:rPr>
          <w:rFonts w:ascii="Calibri" w:hAnsi="Calibri"/>
        </w:rPr>
        <w:t>Jedinstveni geomorfološki fenomen, popularan za adrenalinski turizam.</w:t>
      </w:r>
    </w:p>
    <w:p>
      <w:pPr>
        <w:pStyle w:val="BodyText"/>
        <w:jc w:val="both"/>
        <w:rPr>
          <w:rFonts w:ascii="Calibri" w:hAnsi="Calibri"/>
        </w:rPr>
      </w:pPr>
      <w:r>
        <w:rPr>
          <w:rFonts w:ascii="Calibri" w:hAnsi="Calibri"/>
        </w:rPr>
      </w:r>
    </w:p>
    <w:p>
      <w:pPr>
        <w:pStyle w:val="Heading2"/>
        <w:numPr>
          <w:ilvl w:val="0"/>
          <w:numId w:val="0"/>
        </w:numPr>
        <w:ind w:hanging="0" w:left="120"/>
        <w:rPr>
          <w:rStyle w:val="Strong"/>
          <w:rFonts w:ascii="Calibri" w:hAnsi="Calibri"/>
          <w:b w:val="false"/>
          <w:bCs w:val="false"/>
        </w:rPr>
      </w:pPr>
      <w:r>
        <w:rPr>
          <w:rFonts w:ascii="Calibri" w:hAnsi="Calibri"/>
          <w:b w:val="false"/>
          <w:bCs w:val="false"/>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Heading1"/>
        <w:widowControl/>
        <w:suppressAutoHyphens w:val="true"/>
        <w:bidi w:val="0"/>
        <w:spacing w:before="0" w:after="0"/>
        <w:ind w:hanging="0" w:left="0" w:right="2324"/>
        <w:jc w:val="left"/>
        <w:rPr/>
      </w:pPr>
      <w:bookmarkStart w:id="12" w:name="__RefHeading___Toc4249_776530240"/>
      <w:bookmarkEnd w:id="12"/>
      <w:r>
        <w:rPr>
          <w:color w:val="5983B0"/>
        </w:rPr>
        <w:t xml:space="preserve">4. </w:t>
      </w:r>
      <w:r>
        <w:rPr>
          <w:rStyle w:val="Strong"/>
          <w:b/>
          <w:bCs/>
          <w:color w:val="5983B0"/>
        </w:rPr>
        <w:t>Turistička valorizacija</w:t>
      </w:r>
    </w:p>
    <w:p>
      <w:pPr>
        <w:pStyle w:val="BodyText"/>
        <w:jc w:val="both"/>
        <w:rPr>
          <w:rStyle w:val="Strong"/>
          <w:rFonts w:ascii="Calibri" w:hAnsi="Calibri"/>
        </w:rPr>
      </w:pPr>
      <w:r>
        <w:rPr>
          <w:rFonts w:ascii="Calibri" w:hAnsi="Calibri"/>
        </w:rPr>
      </w:r>
    </w:p>
    <w:p>
      <w:pPr>
        <w:pStyle w:val="BodyText"/>
        <w:jc w:val="both"/>
        <w:rPr/>
      </w:pPr>
      <w:r>
        <w:rPr>
          <w:rStyle w:val="Strong"/>
          <w:rFonts w:ascii="Calibri" w:hAnsi="Calibri"/>
          <w:b w:val="false"/>
          <w:bCs w:val="false"/>
        </w:rPr>
        <w:t xml:space="preserve">Trenutni stepen turističke valorizacije geo-nasleđa na sjeveru Crne Gore je neujednačen. Dok </w:t>
      </w:r>
      <w:r>
        <w:rPr>
          <w:rStyle w:val="Strong"/>
          <w:rFonts w:ascii="Calibri" w:hAnsi="Calibri"/>
          <w:b w:val="false"/>
          <w:bCs w:val="false"/>
        </w:rPr>
        <w:t xml:space="preserve">za </w:t>
      </w:r>
      <w:r>
        <w:rPr>
          <w:rStyle w:val="Strong"/>
          <w:rFonts w:ascii="Calibri" w:hAnsi="Calibri"/>
          <w:b w:val="false"/>
          <w:bCs w:val="false"/>
        </w:rPr>
        <w:t>lokalitet</w:t>
      </w:r>
      <w:r>
        <w:rPr>
          <w:rStyle w:val="Strong"/>
          <w:rFonts w:ascii="Calibri" w:hAnsi="Calibri"/>
          <w:b w:val="false"/>
          <w:bCs w:val="false"/>
        </w:rPr>
        <w:t>e</w:t>
      </w:r>
      <w:r>
        <w:rPr>
          <w:rStyle w:val="Strong"/>
          <w:rFonts w:ascii="Calibri" w:hAnsi="Calibri"/>
          <w:b w:val="false"/>
          <w:bCs w:val="false"/>
        </w:rPr>
        <w:t xml:space="preserve"> poput Durmitora i Tare  možemo da kažemo </w:t>
      </w:r>
      <w:r>
        <w:rPr>
          <w:rStyle w:val="Strong"/>
          <w:rFonts w:ascii="Calibri" w:hAnsi="Calibri"/>
          <w:b w:val="false"/>
          <w:bCs w:val="false"/>
        </w:rPr>
        <w:t xml:space="preserve">da su </w:t>
      </w:r>
      <w:r>
        <w:rPr>
          <w:rStyle w:val="Strong"/>
          <w:rFonts w:ascii="Calibri" w:hAnsi="Calibri"/>
          <w:b w:val="false"/>
          <w:bCs w:val="false"/>
        </w:rPr>
        <w:t xml:space="preserve"> </w:t>
      </w:r>
      <w:r>
        <w:rPr>
          <w:rStyle w:val="Strong"/>
          <w:rFonts w:ascii="Calibri" w:hAnsi="Calibri"/>
          <w:b w:val="false"/>
          <w:bCs w:val="false"/>
        </w:rPr>
        <w:t xml:space="preserve">sredne </w:t>
      </w:r>
      <w:r>
        <w:rPr>
          <w:rStyle w:val="Strong"/>
          <w:rFonts w:ascii="Calibri" w:hAnsi="Calibri"/>
          <w:b w:val="false"/>
          <w:bCs w:val="false"/>
        </w:rPr>
        <w:t>razvijeni,  drugi potencijali još nisu dovoljno iskorišćeni.</w:t>
      </w:r>
    </w:p>
    <w:p>
      <w:pPr>
        <w:pStyle w:val="Heading2"/>
        <w:numPr>
          <w:ilvl w:val="0"/>
          <w:numId w:val="0"/>
        </w:numPr>
        <w:ind w:hanging="0" w:left="709"/>
        <w:rPr/>
      </w:pPr>
      <w:bookmarkStart w:id="13" w:name="__RefHeading___Toc2445_1802657202"/>
      <w:bookmarkEnd w:id="13"/>
      <w:r>
        <w:rPr>
          <w:rStyle w:val="Strong"/>
          <w:rFonts w:ascii="Calibri" w:hAnsi="Calibri"/>
          <w:b/>
          <w:bCs/>
          <w:sz w:val="24"/>
          <w:szCs w:val="24"/>
        </w:rPr>
        <w:t xml:space="preserve">4.1.  </w:t>
      </w:r>
      <w:r>
        <w:rPr>
          <w:rStyle w:val="Strong"/>
          <w:rFonts w:ascii="Calibri" w:hAnsi="Calibri"/>
          <w:b/>
          <w:bCs/>
          <w:sz w:val="24"/>
          <w:szCs w:val="24"/>
        </w:rPr>
        <w:t>Infrastruktura:</w:t>
      </w:r>
      <w:r>
        <w:rPr>
          <w:rFonts w:ascii="Calibri" w:hAnsi="Calibri"/>
          <w:sz w:val="24"/>
          <w:szCs w:val="24"/>
        </w:rPr>
        <w:t xml:space="preserve"> </w:t>
      </w:r>
    </w:p>
    <w:p>
      <w:pPr>
        <w:pStyle w:val="BodyText"/>
        <w:numPr>
          <w:ilvl w:val="0"/>
          <w:numId w:val="0"/>
        </w:numPr>
        <w:tabs>
          <w:tab w:val="clear" w:pos="709"/>
          <w:tab w:val="left" w:pos="0" w:leader="none"/>
        </w:tabs>
        <w:ind w:hanging="0" w:left="709"/>
        <w:jc w:val="both"/>
        <w:rPr/>
      </w:pPr>
      <w:r>
        <w:rPr>
          <w:rFonts w:ascii="Calibri" w:hAnsi="Calibri"/>
        </w:rPr>
        <w:t>Na sjeveru Crne Gore   mreža puteva  je srednje razvijena za potrebe moderne valorizacije turizma. Pristup  lokalitetima kao što su, Đalovića pećina, Prokletije i nekim kraškim lokalitetima je otežan. Potrebna su dodatna ulaganja u pristupne puteve, signalizaciju i objekte za posjetioce.</w:t>
      </w:r>
    </w:p>
    <w:p>
      <w:pPr>
        <w:pStyle w:val="Heading2"/>
        <w:numPr>
          <w:ilvl w:val="0"/>
          <w:numId w:val="0"/>
        </w:numPr>
        <w:ind w:hanging="0" w:left="709"/>
        <w:rPr/>
      </w:pPr>
      <w:bookmarkStart w:id="14" w:name="__RefHeading___Toc2447_1802657202"/>
      <w:bookmarkEnd w:id="14"/>
      <w:r>
        <w:rPr>
          <w:rStyle w:val="Strong"/>
          <w:rFonts w:ascii="Calibri" w:hAnsi="Calibri"/>
          <w:b/>
          <w:bCs/>
          <w:sz w:val="24"/>
          <w:szCs w:val="24"/>
        </w:rPr>
        <w:t xml:space="preserve">4.2. </w:t>
      </w:r>
      <w:r>
        <w:rPr>
          <w:rStyle w:val="Strong"/>
          <w:rFonts w:ascii="Calibri" w:hAnsi="Calibri"/>
          <w:b/>
          <w:bCs/>
          <w:sz w:val="24"/>
          <w:szCs w:val="24"/>
        </w:rPr>
        <w:t>Turistička ponuda:</w:t>
      </w:r>
    </w:p>
    <w:p>
      <w:pPr>
        <w:pStyle w:val="BodyText"/>
        <w:numPr>
          <w:ilvl w:val="0"/>
          <w:numId w:val="0"/>
        </w:numPr>
        <w:tabs>
          <w:tab w:val="clear" w:pos="709"/>
          <w:tab w:val="left" w:pos="0" w:leader="none"/>
        </w:tabs>
        <w:ind w:hanging="0" w:left="709"/>
        <w:jc w:val="both"/>
        <w:rPr/>
      </w:pPr>
      <w:r>
        <w:rPr>
          <w:rFonts w:ascii="Calibri" w:hAnsi="Calibri"/>
        </w:rPr>
        <w:t>Dominiraju aktivnosti poput planinarenja, raftinga i zimskog sporta. Edukativne i interpretativne ture, kao i ponuda za naučne grupe su u povoju. Potrebno je razviti muzejske postavke, edukativne centre i digitalne vodiče.</w:t>
      </w:r>
    </w:p>
    <w:p>
      <w:pPr>
        <w:pStyle w:val="Heading2"/>
        <w:numPr>
          <w:ilvl w:val="0"/>
          <w:numId w:val="0"/>
        </w:numPr>
        <w:ind w:hanging="0" w:left="709"/>
        <w:rPr/>
      </w:pPr>
      <w:bookmarkStart w:id="15" w:name="__RefHeading___Toc2449_1802657202"/>
      <w:bookmarkEnd w:id="15"/>
      <w:r>
        <w:rPr>
          <w:rStyle w:val="Strong"/>
          <w:rFonts w:ascii="Calibri" w:hAnsi="Calibri"/>
          <w:b/>
          <w:bCs/>
          <w:sz w:val="24"/>
          <w:szCs w:val="24"/>
        </w:rPr>
        <w:t xml:space="preserve">4.3. </w:t>
      </w:r>
      <w:r>
        <w:rPr>
          <w:rStyle w:val="Strong"/>
          <w:rFonts w:ascii="Calibri" w:hAnsi="Calibri"/>
          <w:b/>
          <w:bCs/>
          <w:sz w:val="24"/>
          <w:szCs w:val="24"/>
        </w:rPr>
        <w:t>Marketing i promocija:</w:t>
      </w:r>
    </w:p>
    <w:p>
      <w:pPr>
        <w:pStyle w:val="BodyText"/>
        <w:numPr>
          <w:ilvl w:val="0"/>
          <w:numId w:val="0"/>
        </w:numPr>
        <w:tabs>
          <w:tab w:val="clear" w:pos="709"/>
          <w:tab w:val="left" w:pos="0" w:leader="none"/>
        </w:tabs>
        <w:ind w:hanging="0" w:left="709"/>
        <w:jc w:val="both"/>
        <w:rPr/>
      </w:pPr>
      <w:r>
        <w:rPr>
          <w:rFonts w:ascii="Calibri" w:hAnsi="Calibri"/>
        </w:rPr>
        <w:t>Geo-nasleđe se često promoviše kroz prirodne ljepote, bez naglašavanja njegove naučne i kulturne vrijednosti. Potrebno je jasno brendiranje geoturističkih ruta i lokaliteta.</w:t>
      </w:r>
    </w:p>
    <w:p>
      <w:pPr>
        <w:pStyle w:val="Heading2"/>
        <w:numPr>
          <w:ilvl w:val="0"/>
          <w:numId w:val="0"/>
        </w:numPr>
        <w:ind w:hanging="0" w:left="709"/>
        <w:rPr/>
      </w:pPr>
      <w:bookmarkStart w:id="16" w:name="__RefHeading___Toc2451_1802657202"/>
      <w:bookmarkEnd w:id="16"/>
      <w:r>
        <w:rPr>
          <w:rStyle w:val="Strong"/>
          <w:rFonts w:ascii="Calibri" w:hAnsi="Calibri"/>
          <w:b/>
          <w:bCs/>
          <w:sz w:val="24"/>
          <w:szCs w:val="24"/>
        </w:rPr>
        <w:t xml:space="preserve">4.4. </w:t>
      </w:r>
      <w:r>
        <w:rPr>
          <w:rStyle w:val="Strong"/>
          <w:rFonts w:ascii="Calibri" w:hAnsi="Calibri"/>
          <w:b/>
          <w:bCs/>
          <w:sz w:val="24"/>
          <w:szCs w:val="24"/>
        </w:rPr>
        <w:t>Uloga lokalne zajednice:</w:t>
      </w:r>
      <w:r>
        <w:rPr>
          <w:rFonts w:ascii="Calibri" w:hAnsi="Calibri"/>
          <w:sz w:val="24"/>
          <w:szCs w:val="24"/>
        </w:rPr>
        <w:t xml:space="preserve"> </w:t>
      </w:r>
    </w:p>
    <w:p>
      <w:pPr>
        <w:pStyle w:val="BodyText"/>
        <w:numPr>
          <w:ilvl w:val="0"/>
          <w:numId w:val="0"/>
        </w:numPr>
        <w:tabs>
          <w:tab w:val="clear" w:pos="709"/>
          <w:tab w:val="left" w:pos="0" w:leader="none"/>
        </w:tabs>
        <w:ind w:hanging="0" w:left="709"/>
        <w:jc w:val="both"/>
        <w:rPr/>
      </w:pPr>
      <w:r>
        <w:rPr>
          <w:rFonts w:ascii="Calibri" w:hAnsi="Calibri"/>
        </w:rPr>
        <w:t>Uključivanje lokalnog stanovništva kroz obuke za vodiče, razvoj seoskog turizma i prodaju lokalnih proizvoda može poboljšati ekonomsku održivost i očuvanje lokaliteta.</w:t>
      </w:r>
    </w:p>
    <w:p>
      <w:pPr>
        <w:pStyle w:val="BodyText"/>
        <w:tabs>
          <w:tab w:val="clear" w:pos="709"/>
          <w:tab w:val="left" w:pos="0" w:leader="none"/>
        </w:tabs>
        <w:ind w:hanging="283" w:left="709"/>
        <w:jc w:val="both"/>
        <w:rPr>
          <w:rFonts w:ascii="Calibri" w:hAnsi="Calibri"/>
        </w:rPr>
      </w:pPr>
      <w:r>
        <w:rPr/>
      </w:r>
    </w:p>
    <w:p>
      <w:pPr>
        <w:pStyle w:val="BodyText"/>
        <w:jc w:val="both"/>
        <w:rPr/>
      </w:pPr>
      <w:r>
        <w:rPr>
          <w:rStyle w:val="Strong"/>
          <w:rFonts w:ascii="Calibri" w:hAnsi="Calibri"/>
          <w:b w:val="false"/>
          <w:bCs w:val="false"/>
        </w:rPr>
        <w:t xml:space="preserve">Pored tradicionalnih oblika turizma, geo-nasleđe ovih regija nudi značajan potencijal za razvoj </w:t>
      </w:r>
      <w:r>
        <w:rPr>
          <w:rStyle w:val="Strong"/>
          <w:rFonts w:ascii="Calibri" w:hAnsi="Calibri"/>
        </w:rPr>
        <w:t>geoturizma</w:t>
      </w:r>
      <w:r>
        <w:rPr>
          <w:rStyle w:val="Strong"/>
          <w:rFonts w:ascii="Calibri" w:hAnsi="Calibri"/>
          <w:b w:val="false"/>
          <w:bCs w:val="false"/>
        </w:rPr>
        <w:t>, koji kombinuje uživanje u prirodnim ljepotama sa učenjem o geološkoj prošlosti, reljefnim oblicima i dinamikama prirode. Geoturizam omogućava turistima dublje razumijevanje prirodnog okruženja, a lokalnim zajednicama nudi priliku da kroz interpretaciju prirodnih pojava razvijaju sopstvene turističke proizvode.</w:t>
      </w:r>
    </w:p>
    <w:p>
      <w:pPr>
        <w:pStyle w:val="BodyText"/>
        <w:jc w:val="both"/>
        <w:rPr>
          <w:rStyle w:val="Strong"/>
          <w:rFonts w:ascii="Calibri" w:hAnsi="Calibri"/>
          <w:b w:val="false"/>
          <w:bCs w:val="false"/>
        </w:rPr>
      </w:pPr>
      <w:r>
        <w:rPr/>
      </w:r>
    </w:p>
    <w:p>
      <w:pPr>
        <w:pStyle w:val="BodyText"/>
        <w:jc w:val="both"/>
        <w:rPr/>
      </w:pPr>
      <w:r>
        <w:rPr>
          <w:rFonts w:ascii="Calibri" w:hAnsi="Calibri"/>
        </w:rPr>
        <w:t xml:space="preserve">Takođe, </w:t>
      </w:r>
      <w:r>
        <w:rPr>
          <w:rStyle w:val="Strong"/>
          <w:rFonts w:ascii="Calibri" w:hAnsi="Calibri"/>
        </w:rPr>
        <w:t>edukativni turizam</w:t>
      </w:r>
      <w:r>
        <w:rPr>
          <w:rFonts w:ascii="Calibri" w:hAnsi="Calibri"/>
        </w:rPr>
        <w:t xml:space="preserve"> može imati važnu ulogu u valorizaciji geo-nasleđa, posebno kroz organizaciju školskih ekskurzija, univerzitetskih terenskih nastava, naučnih kampova i radionica. Ovime se podstiče svijest o važnosti očuvanja prirodne baštine, ali i doprinosi diverzifikaciji turističke ponude.</w:t>
      </w:r>
    </w:p>
    <w:p>
      <w:pPr>
        <w:pStyle w:val="BodyText"/>
        <w:jc w:val="both"/>
        <w:rPr>
          <w:rFonts w:ascii="Calibri" w:hAnsi="Calibri"/>
        </w:rPr>
      </w:pPr>
      <w:r>
        <w:rPr/>
      </w:r>
    </w:p>
    <w:p>
      <w:pPr>
        <w:pStyle w:val="BodyText"/>
        <w:jc w:val="both"/>
        <w:rPr>
          <w:rFonts w:ascii="Calibri" w:hAnsi="Calibri"/>
        </w:rPr>
      </w:pPr>
      <w:r>
        <w:rPr/>
      </w:r>
    </w:p>
    <w:p>
      <w:pPr>
        <w:pStyle w:val="BodyText"/>
        <w:jc w:val="both"/>
        <w:rPr>
          <w:rFonts w:ascii="Calibri" w:hAnsi="Calibri"/>
        </w:rPr>
      </w:pPr>
      <w:r>
        <w:rPr/>
      </w:r>
    </w:p>
    <w:p>
      <w:pPr>
        <w:pStyle w:val="BodyText"/>
        <w:jc w:val="both"/>
        <w:rPr>
          <w:rFonts w:ascii="Calibri" w:hAnsi="Calibri"/>
        </w:rPr>
      </w:pPr>
      <w:r>
        <w:rPr/>
      </w:r>
    </w:p>
    <w:p>
      <w:pPr>
        <w:pStyle w:val="BodyText"/>
        <w:jc w:val="both"/>
        <w:rPr>
          <w:rFonts w:ascii="Calibri" w:hAnsi="Calibri"/>
        </w:rPr>
      </w:pPr>
      <w:r>
        <w:rPr/>
      </w:r>
    </w:p>
    <w:p>
      <w:pPr>
        <w:pStyle w:val="BodyText"/>
        <w:jc w:val="both"/>
        <w:rPr/>
      </w:pPr>
      <w:r>
        <w:rPr>
          <w:rFonts w:ascii="Calibri" w:hAnsi="Calibri"/>
        </w:rPr>
        <w:t xml:space="preserve">U kontekstu </w:t>
      </w:r>
      <w:r>
        <w:rPr>
          <w:rStyle w:val="Strong"/>
          <w:rFonts w:ascii="Calibri" w:hAnsi="Calibri"/>
        </w:rPr>
        <w:t>održivog razvoja</w:t>
      </w:r>
      <w:r>
        <w:rPr>
          <w:rFonts w:ascii="Calibri" w:hAnsi="Calibri"/>
        </w:rPr>
        <w:t>, geoturizam i edukativni turizam su posebno važni jer se zasnivaju na poštovanju prirodnih procesa, ne zahtijevaju masovnu izgradnju i mogu se sprovoditi uz minimalan uticaj na životnu sredinu. Ovi oblici turizma doprinose očuvanju prirodne i kulturne baštine, stvaranju dodatnih izvora prihoda za lokalno stanovništvo i jačanju identiteta prostora kroz autentično iskustvo posjetilaca.</w:t>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rStyle w:val="Strong"/>
          <w:b/>
          <w:bCs/>
          <w:color w:val="5983B0"/>
        </w:rPr>
      </w:pPr>
      <w:r>
        <w:rPr/>
      </w:r>
    </w:p>
    <w:p>
      <w:pPr>
        <w:pStyle w:val="Heading1"/>
        <w:widowControl/>
        <w:numPr>
          <w:ilvl w:val="0"/>
          <w:numId w:val="0"/>
        </w:numPr>
        <w:suppressAutoHyphens w:val="true"/>
        <w:bidi w:val="0"/>
        <w:spacing w:before="0" w:after="0"/>
        <w:ind w:hanging="0" w:left="0" w:right="57"/>
        <w:jc w:val="left"/>
        <w:rPr/>
      </w:pPr>
      <w:bookmarkStart w:id="17" w:name="__RefHeading___Toc4335_776530240"/>
      <w:bookmarkEnd w:id="17"/>
      <w:r>
        <w:rPr>
          <w:rStyle w:val="Strong"/>
          <w:b/>
          <w:bCs/>
          <w:color w:val="5983B0"/>
        </w:rPr>
        <w:t>5. Izazovi u valorizaciji geo-nasleđa</w:t>
      </w:r>
    </w:p>
    <w:p>
      <w:pPr>
        <w:pStyle w:val="Heading1"/>
        <w:widowControl/>
        <w:numPr>
          <w:ilvl w:val="0"/>
          <w:numId w:val="0"/>
        </w:numPr>
        <w:suppressAutoHyphens w:val="true"/>
        <w:bidi w:val="0"/>
        <w:spacing w:before="0" w:after="0"/>
        <w:ind w:hanging="0" w:left="0" w:right="1247"/>
        <w:jc w:val="left"/>
        <w:rPr>
          <w:rStyle w:val="Strong"/>
          <w:b w:val="false"/>
          <w:bCs w:val="false"/>
          <w:color w:val="5983B0"/>
        </w:rPr>
      </w:pPr>
      <w:r>
        <w:rPr>
          <w:b w:val="false"/>
          <w:bCs w:val="false"/>
          <w:color w:val="5983B0"/>
        </w:rPr>
      </w:r>
    </w:p>
    <w:p>
      <w:pPr>
        <w:pStyle w:val="Heading1"/>
        <w:widowControl/>
        <w:numPr>
          <w:ilvl w:val="0"/>
          <w:numId w:val="0"/>
        </w:numPr>
        <w:suppressAutoHyphens w:val="true"/>
        <w:bidi w:val="0"/>
        <w:spacing w:before="0" w:after="0"/>
        <w:ind w:hanging="0" w:left="0" w:right="2324"/>
        <w:jc w:val="left"/>
        <w:rPr>
          <w:rStyle w:val="Strong"/>
          <w:b w:val="false"/>
          <w:bCs w:val="false"/>
          <w:color w:val="5983B0"/>
        </w:rPr>
      </w:pPr>
      <w:r>
        <w:rPr>
          <w:b w:val="false"/>
          <w:bCs w:val="false"/>
          <w:color w:val="5983B0"/>
        </w:rPr>
      </w:r>
    </w:p>
    <w:p>
      <w:pPr>
        <w:pStyle w:val="BodyText"/>
        <w:jc w:val="both"/>
        <w:rPr>
          <w:rFonts w:ascii="Calibri" w:hAnsi="Calibri"/>
        </w:rPr>
      </w:pPr>
      <w:r>
        <w:rPr>
          <w:rFonts w:ascii="Calibri" w:hAnsi="Calibri"/>
        </w:rPr>
        <w:t>Iako sjeverna i sjeveroistočna Crna Gora posjeduju značajan geonasleđni potencijal, proces turističke valorizacije suočava se sa brojnim izazovima:</w:t>
      </w:r>
    </w:p>
    <w:p>
      <w:pPr>
        <w:pStyle w:val="Heading2"/>
        <w:numPr>
          <w:ilvl w:val="0"/>
          <w:numId w:val="0"/>
        </w:numPr>
        <w:ind w:hanging="0" w:left="709"/>
        <w:rPr/>
      </w:pPr>
      <w:bookmarkStart w:id="18" w:name="__RefHeading___Toc2453_1802657202"/>
      <w:bookmarkEnd w:id="18"/>
      <w:r>
        <w:rPr>
          <w:rStyle w:val="Strong"/>
          <w:rFonts w:ascii="Calibri" w:hAnsi="Calibri"/>
          <w:b/>
          <w:bCs/>
          <w:sz w:val="24"/>
          <w:szCs w:val="24"/>
        </w:rPr>
        <w:t xml:space="preserve">5.1.  </w:t>
      </w:r>
      <w:r>
        <w:rPr>
          <w:rStyle w:val="Strong"/>
          <w:rFonts w:ascii="Calibri" w:hAnsi="Calibri"/>
          <w:b/>
          <w:bCs/>
          <w:sz w:val="24"/>
          <w:szCs w:val="24"/>
        </w:rPr>
        <w:t>Nedostatak stručnog kadra:</w:t>
      </w:r>
    </w:p>
    <w:p>
      <w:pPr>
        <w:pStyle w:val="BodyText"/>
        <w:numPr>
          <w:ilvl w:val="0"/>
          <w:numId w:val="0"/>
        </w:numPr>
        <w:tabs>
          <w:tab w:val="clear" w:pos="709"/>
          <w:tab w:val="left" w:pos="0" w:leader="none"/>
        </w:tabs>
        <w:ind w:hanging="0" w:left="709"/>
        <w:jc w:val="both"/>
        <w:rPr/>
      </w:pPr>
      <w:r>
        <w:rPr>
          <w:rFonts w:ascii="Calibri" w:hAnsi="Calibri"/>
        </w:rPr>
        <w:t xml:space="preserve">Mnoge opštine nemaju dovoljno kvalifikovanih stručnjaka iz oblasti geologije, turizma i zaštite prirode, što otežava kvalitetnu interpretaciju i upravljanje lokalitetima. </w:t>
      </w:r>
    </w:p>
    <w:p>
      <w:pPr>
        <w:pStyle w:val="Heading2"/>
        <w:numPr>
          <w:ilvl w:val="0"/>
          <w:numId w:val="0"/>
        </w:numPr>
        <w:ind w:hanging="0" w:left="709"/>
        <w:rPr/>
      </w:pPr>
      <w:bookmarkStart w:id="19" w:name="__RefHeading___Toc2455_1802657202"/>
      <w:bookmarkEnd w:id="19"/>
      <w:r>
        <w:rPr>
          <w:rStyle w:val="Strong"/>
          <w:rFonts w:ascii="Calibri" w:hAnsi="Calibri"/>
          <w:b/>
          <w:bCs/>
          <w:sz w:val="24"/>
          <w:szCs w:val="24"/>
        </w:rPr>
        <w:t xml:space="preserve">5.2. </w:t>
      </w:r>
      <w:r>
        <w:rPr>
          <w:rStyle w:val="Strong"/>
          <w:rFonts w:ascii="Calibri" w:hAnsi="Calibri"/>
          <w:b/>
          <w:bCs/>
          <w:sz w:val="24"/>
          <w:szCs w:val="24"/>
        </w:rPr>
        <w:t>Slaba infrastruktura i pristupačnost:</w:t>
      </w:r>
      <w:r>
        <w:rPr>
          <w:rFonts w:ascii="Calibri" w:hAnsi="Calibri"/>
          <w:sz w:val="24"/>
          <w:szCs w:val="24"/>
        </w:rPr>
        <w:t xml:space="preserve"> </w:t>
      </w:r>
    </w:p>
    <w:p>
      <w:pPr>
        <w:pStyle w:val="BodyText"/>
        <w:numPr>
          <w:ilvl w:val="0"/>
          <w:numId w:val="0"/>
        </w:numPr>
        <w:tabs>
          <w:tab w:val="clear" w:pos="709"/>
          <w:tab w:val="left" w:pos="0" w:leader="none"/>
        </w:tabs>
        <w:ind w:hanging="0" w:left="709"/>
        <w:jc w:val="both"/>
        <w:rPr/>
      </w:pPr>
      <w:r>
        <w:rPr>
          <w:rFonts w:ascii="Calibri" w:hAnsi="Calibri"/>
        </w:rPr>
        <w:t>Mnogi značajni lokaliteti nalaze se u udaljenim planinskim područjima sa lošom saobraćajnom infrastrukturom. Nedostatak uređenih staza, vidikovaca, info-tabli i sanitarnog čvora predstavlja prepreku razvoju turizma.</w:t>
      </w:r>
    </w:p>
    <w:p>
      <w:pPr>
        <w:pStyle w:val="Heading2"/>
        <w:numPr>
          <w:ilvl w:val="0"/>
          <w:numId w:val="0"/>
        </w:numPr>
        <w:ind w:hanging="0" w:left="709"/>
        <w:rPr/>
      </w:pPr>
      <w:bookmarkStart w:id="20" w:name="__RefHeading___Toc2457_1802657202"/>
      <w:bookmarkEnd w:id="20"/>
      <w:r>
        <w:rPr>
          <w:rStyle w:val="Strong"/>
          <w:rFonts w:ascii="Calibri" w:hAnsi="Calibri"/>
          <w:b/>
          <w:bCs/>
          <w:sz w:val="24"/>
          <w:szCs w:val="24"/>
        </w:rPr>
        <w:t xml:space="preserve">5.3. </w:t>
      </w:r>
      <w:r>
        <w:rPr>
          <w:rStyle w:val="Strong"/>
          <w:rFonts w:ascii="Calibri" w:hAnsi="Calibri"/>
          <w:b/>
          <w:bCs/>
          <w:sz w:val="24"/>
          <w:szCs w:val="24"/>
        </w:rPr>
        <w:t>Finansijska ograničenja:</w:t>
      </w:r>
      <w:r>
        <w:rPr>
          <w:rFonts w:ascii="Calibri" w:hAnsi="Calibri"/>
          <w:sz w:val="24"/>
          <w:szCs w:val="24"/>
        </w:rPr>
        <w:t xml:space="preserve"> </w:t>
      </w:r>
    </w:p>
    <w:p>
      <w:pPr>
        <w:pStyle w:val="BodyText"/>
        <w:numPr>
          <w:ilvl w:val="0"/>
          <w:numId w:val="0"/>
        </w:numPr>
        <w:tabs>
          <w:tab w:val="clear" w:pos="709"/>
          <w:tab w:val="left" w:pos="0" w:leader="none"/>
        </w:tabs>
        <w:ind w:hanging="0" w:left="709"/>
        <w:jc w:val="both"/>
        <w:rPr/>
      </w:pPr>
      <w:r>
        <w:rPr>
          <w:rFonts w:ascii="Calibri" w:hAnsi="Calibri"/>
        </w:rPr>
        <w:t>Nedovoljno ulaganja iz državnog i lokalnog budžeta, kao i slab pristup međunarodnim fondovima, značajno usporavaju realizaciju projekata valorizacije geo-nasleđa.</w:t>
      </w:r>
    </w:p>
    <w:p>
      <w:pPr>
        <w:pStyle w:val="Heading2"/>
        <w:numPr>
          <w:ilvl w:val="0"/>
          <w:numId w:val="0"/>
        </w:numPr>
        <w:ind w:hanging="0" w:left="709"/>
        <w:rPr/>
      </w:pPr>
      <w:bookmarkStart w:id="21" w:name="__RefHeading___Toc2459_1802657202"/>
      <w:bookmarkEnd w:id="21"/>
      <w:r>
        <w:rPr>
          <w:rStyle w:val="Strong"/>
          <w:rFonts w:ascii="Calibri" w:hAnsi="Calibri"/>
          <w:b/>
          <w:bCs/>
          <w:sz w:val="24"/>
          <w:szCs w:val="24"/>
        </w:rPr>
        <w:t xml:space="preserve">5.4. </w:t>
      </w:r>
      <w:r>
        <w:rPr>
          <w:rStyle w:val="Strong"/>
          <w:rFonts w:ascii="Calibri" w:hAnsi="Calibri"/>
          <w:b/>
          <w:bCs/>
          <w:sz w:val="24"/>
          <w:szCs w:val="24"/>
        </w:rPr>
        <w:t>Nedovoljna promocija:</w:t>
      </w:r>
    </w:p>
    <w:p>
      <w:pPr>
        <w:pStyle w:val="BodyText"/>
        <w:numPr>
          <w:ilvl w:val="0"/>
          <w:numId w:val="0"/>
        </w:numPr>
        <w:tabs>
          <w:tab w:val="clear" w:pos="709"/>
          <w:tab w:val="left" w:pos="0" w:leader="none"/>
        </w:tabs>
        <w:ind w:hanging="0" w:left="709"/>
        <w:jc w:val="both"/>
        <w:rPr/>
      </w:pPr>
      <w:r>
        <w:rPr>
          <w:rFonts w:ascii="Calibri" w:hAnsi="Calibri"/>
        </w:rPr>
        <w:t>Promotivni materijali rijetko uključuju detaljne informacije o geološkim posebnostima lokaliteta. Geo-nasleđe nije dovoljno prisutno na turističkim platformama i sajmovima.</w:t>
      </w:r>
    </w:p>
    <w:p>
      <w:pPr>
        <w:pStyle w:val="Heading2"/>
        <w:numPr>
          <w:ilvl w:val="0"/>
          <w:numId w:val="0"/>
        </w:numPr>
        <w:ind w:hanging="0" w:left="709"/>
        <w:rPr/>
      </w:pPr>
      <w:bookmarkStart w:id="22" w:name="__RefHeading___Toc2461_1802657202"/>
      <w:bookmarkEnd w:id="22"/>
      <w:r>
        <w:rPr>
          <w:rStyle w:val="Strong"/>
          <w:rFonts w:ascii="Calibri" w:hAnsi="Calibri"/>
          <w:b/>
          <w:bCs/>
          <w:sz w:val="24"/>
          <w:szCs w:val="24"/>
        </w:rPr>
        <w:t xml:space="preserve">5.5. </w:t>
      </w:r>
      <w:r>
        <w:rPr>
          <w:rStyle w:val="Strong"/>
          <w:rFonts w:ascii="Calibri" w:hAnsi="Calibri"/>
          <w:b/>
          <w:bCs/>
          <w:sz w:val="24"/>
          <w:szCs w:val="24"/>
        </w:rPr>
        <w:t>Slaba uključenost lokalnog stanovništva:</w:t>
      </w:r>
    </w:p>
    <w:p>
      <w:pPr>
        <w:pStyle w:val="BodyText"/>
        <w:numPr>
          <w:ilvl w:val="0"/>
          <w:numId w:val="0"/>
        </w:numPr>
        <w:tabs>
          <w:tab w:val="clear" w:pos="709"/>
          <w:tab w:val="left" w:pos="0" w:leader="none"/>
        </w:tabs>
        <w:ind w:hanging="0" w:left="709"/>
        <w:jc w:val="both"/>
        <w:rPr/>
      </w:pPr>
      <w:r>
        <w:rPr>
          <w:rFonts w:ascii="Calibri" w:hAnsi="Calibri"/>
        </w:rPr>
        <w:t>Mnogi lokalni stanovnici nisu informisani o značaju geonasleđa niti uključeni u kreiranje turističke ponude. Nedostaje sistem edukacije i podsticaja za razvoj geoturizma.</w:t>
      </w:r>
    </w:p>
    <w:p>
      <w:pPr>
        <w:pStyle w:val="Heading2"/>
        <w:numPr>
          <w:ilvl w:val="0"/>
          <w:numId w:val="0"/>
        </w:numPr>
        <w:ind w:hanging="0" w:left="709"/>
        <w:rPr/>
      </w:pPr>
      <w:bookmarkStart w:id="23" w:name="__RefHeading___Toc2463_1802657202"/>
      <w:bookmarkEnd w:id="23"/>
      <w:r>
        <w:rPr>
          <w:rStyle w:val="Strong"/>
          <w:rFonts w:ascii="Calibri" w:hAnsi="Calibri"/>
          <w:b/>
          <w:bCs/>
          <w:sz w:val="24"/>
          <w:szCs w:val="24"/>
        </w:rPr>
        <w:t xml:space="preserve">5.6. </w:t>
      </w:r>
      <w:r>
        <w:rPr>
          <w:rStyle w:val="Strong"/>
          <w:rFonts w:ascii="Calibri" w:hAnsi="Calibri"/>
          <w:b/>
          <w:bCs/>
          <w:sz w:val="24"/>
          <w:szCs w:val="24"/>
        </w:rPr>
        <w:t>Rizik od degradacije:</w:t>
      </w:r>
      <w:r>
        <w:rPr>
          <w:rFonts w:ascii="Calibri" w:hAnsi="Calibri"/>
          <w:sz w:val="24"/>
          <w:szCs w:val="24"/>
        </w:rPr>
        <w:t xml:space="preserve"> </w:t>
      </w:r>
    </w:p>
    <w:p>
      <w:pPr>
        <w:pStyle w:val="BodyText"/>
        <w:numPr>
          <w:ilvl w:val="0"/>
          <w:numId w:val="0"/>
        </w:numPr>
        <w:tabs>
          <w:tab w:val="clear" w:pos="709"/>
          <w:tab w:val="left" w:pos="0" w:leader="none"/>
        </w:tabs>
        <w:ind w:hanging="0" w:left="709"/>
        <w:jc w:val="both"/>
        <w:rPr/>
      </w:pPr>
      <w:r>
        <w:rPr>
          <w:rFonts w:ascii="Calibri" w:hAnsi="Calibri"/>
        </w:rPr>
        <w:t>Bez odgovarajuće regulative i kontrole, popularizacija nekih lokaliteta može dovesti do njihove devastacije. Posebno su osjetljive pećine, glečerska jezera i uski kanjoni.</w:t>
      </w:r>
    </w:p>
    <w:p>
      <w:pPr>
        <w:pStyle w:val="BodyText"/>
        <w:jc w:val="both"/>
        <w:rPr>
          <w:rFonts w:ascii="Calibri" w:hAnsi="Calibri"/>
        </w:rPr>
      </w:pPr>
      <w:r>
        <w:rPr/>
      </w:r>
    </w:p>
    <w:p>
      <w:pPr>
        <w:pStyle w:val="BodyText"/>
        <w:jc w:val="both"/>
        <w:rPr>
          <w:rFonts w:ascii="Calibri" w:hAnsi="Calibri"/>
        </w:rPr>
      </w:pPr>
      <w:r>
        <w:rPr>
          <w:rFonts w:ascii="Calibri" w:hAnsi="Calibri"/>
        </w:rPr>
        <w:t>Rješavanje ovih izazova zahtijeva strateški pristup, saradnju između institucija, lokalnih zajednica i nevladinog sektora, kao i aktivno uključivanje akademske zajednice.</w:t>
      </w:r>
    </w:p>
    <w:p>
      <w:pPr>
        <w:pStyle w:val="BodyText"/>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Heading1"/>
        <w:widowControl/>
        <w:suppressAutoHyphens w:val="true"/>
        <w:bidi w:val="0"/>
        <w:spacing w:before="0" w:after="0"/>
        <w:ind w:hanging="0" w:left="0" w:right="2324"/>
        <w:jc w:val="left"/>
        <w:rPr/>
      </w:pPr>
      <w:bookmarkStart w:id="24" w:name="__RefHeading___Toc4337_776530240"/>
      <w:bookmarkEnd w:id="24"/>
      <w:r>
        <w:rPr>
          <w:rStyle w:val="Strong"/>
          <w:b/>
          <w:bCs/>
          <w:color w:val="5983B0"/>
        </w:rPr>
        <w:t>6. Preporuke i zaključak</w:t>
      </w:r>
    </w:p>
    <w:p>
      <w:pPr>
        <w:pStyle w:val="BodyText"/>
        <w:rPr>
          <w:rStyle w:val="Strong"/>
          <w:rFonts w:ascii="Calibri" w:hAnsi="Calibri"/>
        </w:rPr>
      </w:pPr>
      <w:r>
        <w:rPr>
          <w:rFonts w:ascii="Calibri" w:hAnsi="Calibri"/>
        </w:rPr>
      </w:r>
    </w:p>
    <w:p>
      <w:pPr>
        <w:pStyle w:val="BodyText"/>
        <w:rPr>
          <w:rStyle w:val="Strong"/>
          <w:rFonts w:ascii="Calibri" w:hAnsi="Calibri"/>
        </w:rPr>
      </w:pPr>
      <w:r>
        <w:rPr>
          <w:rFonts w:ascii="Calibri" w:hAnsi="Calibri"/>
        </w:rPr>
      </w:r>
    </w:p>
    <w:p>
      <w:pPr>
        <w:pStyle w:val="BodyText"/>
        <w:jc w:val="both"/>
        <w:rPr>
          <w:rFonts w:ascii="Calibri" w:hAnsi="Calibri"/>
        </w:rPr>
      </w:pPr>
      <w:r>
        <w:rPr>
          <w:rFonts w:ascii="Calibri" w:hAnsi="Calibri"/>
        </w:rPr>
        <w:t>Na osnovu analize, preporučuju se sljedeće mjere na lokalitettima gde  ne postoje, a na lokalitetima gde postoje obnoviti:</w:t>
      </w:r>
    </w:p>
    <w:p>
      <w:pPr>
        <w:pStyle w:val="BodyText"/>
        <w:numPr>
          <w:ilvl w:val="0"/>
          <w:numId w:val="4"/>
        </w:numPr>
        <w:tabs>
          <w:tab w:val="clear" w:pos="709"/>
          <w:tab w:val="left" w:pos="0" w:leader="none"/>
        </w:tabs>
        <w:ind w:hanging="283" w:left="709"/>
        <w:jc w:val="both"/>
        <w:rPr/>
      </w:pPr>
      <w:r>
        <w:rPr>
          <w:rStyle w:val="Strong"/>
          <w:rFonts w:ascii="Calibri" w:hAnsi="Calibri"/>
        </w:rPr>
        <w:t>Mapiranje i kategorizacija geo-nasleđa</w:t>
      </w:r>
      <w:r>
        <w:rPr>
          <w:rFonts w:ascii="Calibri" w:hAnsi="Calibri"/>
        </w:rPr>
        <w:t xml:space="preserve"> – Izraditi </w:t>
      </w:r>
      <w:r>
        <w:rPr>
          <w:rFonts w:ascii="Calibri" w:hAnsi="Calibri"/>
        </w:rPr>
        <w:t xml:space="preserve">gde nepostoji  </w:t>
      </w:r>
      <w:r>
        <w:rPr>
          <w:rFonts w:ascii="Calibri" w:hAnsi="Calibri"/>
        </w:rPr>
        <w:t xml:space="preserve">obnoviti, bazu podataka sa opisima, fotografijama i pristupima </w:t>
      </w:r>
      <w:r>
        <w:rPr>
          <w:rFonts w:ascii="Calibri" w:hAnsi="Calibri"/>
        </w:rPr>
        <w:t>svim značajnim lokalitetima</w:t>
      </w:r>
      <w:r>
        <w:rPr>
          <w:rFonts w:ascii="Calibri" w:hAnsi="Calibri"/>
        </w:rPr>
        <w:t>.</w:t>
      </w:r>
    </w:p>
    <w:p>
      <w:pPr>
        <w:pStyle w:val="BodyText"/>
        <w:numPr>
          <w:ilvl w:val="0"/>
          <w:numId w:val="4"/>
        </w:numPr>
        <w:tabs>
          <w:tab w:val="clear" w:pos="709"/>
          <w:tab w:val="left" w:pos="0" w:leader="none"/>
        </w:tabs>
        <w:ind w:hanging="283" w:left="709"/>
        <w:jc w:val="both"/>
        <w:rPr/>
      </w:pPr>
      <w:r>
        <w:rPr>
          <w:rStyle w:val="Strong"/>
          <w:rFonts w:ascii="Calibri" w:hAnsi="Calibri"/>
        </w:rPr>
        <w:t>Razvoj tematskih geoturističkih ruta</w:t>
      </w:r>
      <w:r>
        <w:rPr>
          <w:rFonts w:ascii="Calibri" w:hAnsi="Calibri"/>
        </w:rPr>
        <w:t xml:space="preserve"> – Npr. “Put glečerskih jezera”, “Ruta kanjona i pećina”.</w:t>
      </w:r>
    </w:p>
    <w:p>
      <w:pPr>
        <w:pStyle w:val="BodyText"/>
        <w:numPr>
          <w:ilvl w:val="0"/>
          <w:numId w:val="4"/>
        </w:numPr>
        <w:tabs>
          <w:tab w:val="clear" w:pos="709"/>
          <w:tab w:val="left" w:pos="0" w:leader="none"/>
        </w:tabs>
        <w:ind w:hanging="283" w:left="709"/>
        <w:jc w:val="both"/>
        <w:rPr/>
      </w:pPr>
      <w:r>
        <w:rPr>
          <w:rStyle w:val="Strong"/>
          <w:rFonts w:ascii="Calibri" w:hAnsi="Calibri"/>
        </w:rPr>
        <w:t>Unapređenje infrastrukture</w:t>
      </w:r>
      <w:r>
        <w:rPr>
          <w:rFonts w:ascii="Calibri" w:hAnsi="Calibri"/>
        </w:rPr>
        <w:t xml:space="preserve"> – Pristupni putevi, info-centri, edukativne table i vidikovci.</w:t>
      </w:r>
    </w:p>
    <w:p>
      <w:pPr>
        <w:pStyle w:val="BodyText"/>
        <w:numPr>
          <w:ilvl w:val="0"/>
          <w:numId w:val="4"/>
        </w:numPr>
        <w:tabs>
          <w:tab w:val="clear" w:pos="709"/>
          <w:tab w:val="left" w:pos="0" w:leader="none"/>
        </w:tabs>
        <w:ind w:hanging="283" w:left="709"/>
        <w:jc w:val="both"/>
        <w:rPr/>
      </w:pPr>
      <w:r>
        <w:rPr>
          <w:rStyle w:val="Strong"/>
          <w:rFonts w:ascii="Calibri" w:hAnsi="Calibri"/>
        </w:rPr>
        <w:t>Edukacija lokalnog stanovništva i vodiča</w:t>
      </w:r>
      <w:r>
        <w:rPr>
          <w:rFonts w:ascii="Calibri" w:hAnsi="Calibri"/>
        </w:rPr>
        <w:t xml:space="preserve"> – Kroz sertifikovane obuke i radionice.</w:t>
      </w:r>
    </w:p>
    <w:p>
      <w:pPr>
        <w:pStyle w:val="BodyText"/>
        <w:numPr>
          <w:ilvl w:val="0"/>
          <w:numId w:val="4"/>
        </w:numPr>
        <w:tabs>
          <w:tab w:val="clear" w:pos="709"/>
          <w:tab w:val="left" w:pos="0" w:leader="none"/>
        </w:tabs>
        <w:ind w:hanging="283" w:left="709"/>
        <w:jc w:val="both"/>
        <w:rPr/>
      </w:pPr>
      <w:r>
        <w:rPr>
          <w:rStyle w:val="Strong"/>
          <w:rFonts w:ascii="Calibri" w:hAnsi="Calibri"/>
        </w:rPr>
        <w:t>Digitalizacija ponude</w:t>
      </w:r>
      <w:r>
        <w:rPr>
          <w:rFonts w:ascii="Calibri" w:hAnsi="Calibri"/>
        </w:rPr>
        <w:t xml:space="preserve"> – Mobilne aplikacije, AR vodiči, multimedijalne izložbe.</w:t>
      </w:r>
    </w:p>
    <w:p>
      <w:pPr>
        <w:pStyle w:val="BodyText"/>
        <w:numPr>
          <w:ilvl w:val="0"/>
          <w:numId w:val="4"/>
        </w:numPr>
        <w:tabs>
          <w:tab w:val="clear" w:pos="709"/>
          <w:tab w:val="left" w:pos="0" w:leader="none"/>
        </w:tabs>
        <w:ind w:hanging="283" w:left="709"/>
        <w:jc w:val="both"/>
        <w:rPr/>
      </w:pPr>
      <w:r>
        <w:rPr>
          <w:rStyle w:val="Strong"/>
          <w:rFonts w:ascii="Calibri" w:hAnsi="Calibri"/>
        </w:rPr>
        <w:t>Međunarodna saradnja</w:t>
      </w:r>
      <w:r>
        <w:rPr>
          <w:rFonts w:ascii="Calibri" w:hAnsi="Calibri"/>
        </w:rPr>
        <w:t xml:space="preserve"> – Povezivanje sa UNESCO i European Geoparks Network.</w:t>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r>
    </w:p>
    <w:p>
      <w:pPr>
        <w:pStyle w:val="BodyText"/>
        <w:jc w:val="both"/>
        <w:rPr>
          <w:rFonts w:ascii="Calibri" w:hAnsi="Calibri"/>
        </w:rPr>
      </w:pPr>
      <w:r>
        <w:rPr>
          <w:rFonts w:ascii="Calibri" w:hAnsi="Calibri"/>
        </w:rPr>
        <w:t>Zaključno, sjever i sjeveroistok Crne Gore posjeduju izuzetno bogato geo-nasleđe koje može postati stub održivog razvoja turizma. Ulaganjem u infrastrukturu, edukaciju i promociju, moguće je ostvariti ravnotežu između očuvanja prirode i ekonomskog razvoja.</w:t>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Normal"/>
        <w:jc w:val="both"/>
        <w:rPr>
          <w:rFonts w:ascii="Calibri" w:hAnsi="Calibri"/>
        </w:rPr>
      </w:pPr>
      <w:r>
        <w:rPr>
          <w:rFonts w:ascii="Calibri" w:hAnsi="Calibri"/>
        </w:rPr>
      </w:r>
    </w:p>
    <w:p>
      <w:pPr>
        <w:pStyle w:val="Heading1"/>
        <w:widowControl/>
        <w:suppressAutoHyphens w:val="true"/>
        <w:bidi w:val="0"/>
        <w:spacing w:before="0" w:after="0"/>
        <w:ind w:hanging="0" w:left="0" w:right="2324"/>
        <w:jc w:val="left"/>
        <w:rPr/>
      </w:pPr>
      <w:bookmarkStart w:id="25" w:name="__RefHeading___Toc4339_776530240"/>
      <w:bookmarkEnd w:id="25"/>
      <w:r>
        <w:rPr>
          <w:rStyle w:val="Strong"/>
          <w:rFonts w:ascii="Calibri" w:hAnsi="Calibri"/>
          <w:b/>
          <w:bCs/>
          <w:color w:val="5983B0"/>
        </w:rPr>
        <w:t>7. LITERATURA</w:t>
      </w:r>
    </w:p>
    <w:p>
      <w:pPr>
        <w:pStyle w:val="BodyText"/>
        <w:rPr>
          <w:rStyle w:val="Strong"/>
          <w:rFonts w:ascii="Calibri" w:hAnsi="Calibri"/>
        </w:rPr>
      </w:pPr>
      <w:r>
        <w:rPr>
          <w:rFonts w:ascii="Calibri" w:hAnsi="Calibri"/>
        </w:rPr>
      </w:r>
    </w:p>
    <w:p>
      <w:pPr>
        <w:pStyle w:val="BodyText"/>
        <w:rPr>
          <w:rStyle w:val="Strong"/>
          <w:rFonts w:ascii="Calibri" w:hAnsi="Calibri"/>
        </w:rPr>
      </w:pPr>
      <w:r>
        <w:rPr>
          <w:rFonts w:ascii="Calibri" w:hAnsi="Calibri"/>
        </w:rPr>
      </w:r>
    </w:p>
    <w:p>
      <w:pPr>
        <w:pStyle w:val="BodyText"/>
        <w:numPr>
          <w:ilvl w:val="0"/>
          <w:numId w:val="5"/>
        </w:numPr>
        <w:tabs>
          <w:tab w:val="clear" w:pos="709"/>
          <w:tab w:val="left" w:pos="0" w:leader="none"/>
        </w:tabs>
        <w:ind w:hanging="283" w:left="709"/>
        <w:rPr/>
      </w:pPr>
      <w:r>
        <w:rPr>
          <w:rFonts w:ascii="Calibri" w:hAnsi="Calibri"/>
        </w:rPr>
        <w:t xml:space="preserve">Milovanović, B. (2010). </w:t>
      </w:r>
      <w:r>
        <w:rPr>
          <w:rStyle w:val="Emphasis"/>
          <w:rFonts w:ascii="Calibri" w:hAnsi="Calibri"/>
        </w:rPr>
        <w:t>Geonasleđe i geoturizam</w:t>
      </w:r>
      <w:r>
        <w:rPr>
          <w:rFonts w:ascii="Calibri" w:hAnsi="Calibri"/>
        </w:rPr>
        <w:t>. Beograd: Geografski fakultet.</w:t>
      </w:r>
    </w:p>
    <w:p>
      <w:pPr>
        <w:pStyle w:val="BodyText"/>
        <w:numPr>
          <w:ilvl w:val="0"/>
          <w:numId w:val="5"/>
        </w:numPr>
        <w:tabs>
          <w:tab w:val="clear" w:pos="709"/>
          <w:tab w:val="left" w:pos="0" w:leader="none"/>
        </w:tabs>
        <w:ind w:hanging="283" w:left="709"/>
        <w:rPr/>
      </w:pPr>
      <w:r>
        <w:rPr>
          <w:rFonts w:ascii="Calibri" w:hAnsi="Calibri"/>
        </w:rPr>
        <w:t xml:space="preserve">Đurović, P. (2014). </w:t>
      </w:r>
      <w:r>
        <w:rPr>
          <w:rStyle w:val="Emphasis"/>
          <w:rFonts w:ascii="Calibri" w:hAnsi="Calibri"/>
        </w:rPr>
        <w:t>Geografska osnova Crne Gore</w:t>
      </w:r>
      <w:r>
        <w:rPr>
          <w:rFonts w:ascii="Calibri" w:hAnsi="Calibri"/>
        </w:rPr>
        <w:t>. Podgorica: CANU.</w:t>
      </w:r>
    </w:p>
    <w:p>
      <w:pPr>
        <w:pStyle w:val="BodyText"/>
        <w:numPr>
          <w:ilvl w:val="0"/>
          <w:numId w:val="5"/>
        </w:numPr>
        <w:tabs>
          <w:tab w:val="clear" w:pos="709"/>
          <w:tab w:val="left" w:pos="0" w:leader="none"/>
        </w:tabs>
        <w:ind w:hanging="283" w:left="709"/>
        <w:rPr/>
      </w:pPr>
      <w:r>
        <w:rPr>
          <w:rFonts w:ascii="Calibri" w:hAnsi="Calibri"/>
        </w:rPr>
        <w:t xml:space="preserve">Sekulić, M. (2017). "Turistički potencijali sjevera Crne Gore", </w:t>
      </w:r>
      <w:r>
        <w:rPr>
          <w:rStyle w:val="Emphasis"/>
          <w:rFonts w:ascii="Calibri" w:hAnsi="Calibri"/>
        </w:rPr>
        <w:t>Turizam</w:t>
      </w:r>
      <w:r>
        <w:rPr>
          <w:rFonts w:ascii="Calibri" w:hAnsi="Calibri"/>
        </w:rPr>
        <w:t>, 21(2), 45-58.</w:t>
      </w:r>
    </w:p>
    <w:p>
      <w:pPr>
        <w:pStyle w:val="BodyText"/>
        <w:numPr>
          <w:ilvl w:val="0"/>
          <w:numId w:val="5"/>
        </w:numPr>
        <w:tabs>
          <w:tab w:val="clear" w:pos="709"/>
          <w:tab w:val="left" w:pos="0" w:leader="none"/>
        </w:tabs>
        <w:ind w:hanging="283" w:left="709"/>
        <w:rPr/>
      </w:pPr>
      <w:r>
        <w:rPr>
          <w:rFonts w:ascii="Calibri" w:hAnsi="Calibri"/>
        </w:rPr>
        <w:t xml:space="preserve">Ministarstvo turizma i održivog razvoja Crne Gore (2021). </w:t>
      </w:r>
      <w:r>
        <w:rPr>
          <w:rStyle w:val="Emphasis"/>
          <w:rFonts w:ascii="Calibri" w:hAnsi="Calibri"/>
        </w:rPr>
        <w:t>Strategija razvoja turizma 2021–2025</w:t>
      </w:r>
      <w:r>
        <w:rPr>
          <w:rFonts w:ascii="Calibri" w:hAnsi="Calibri"/>
        </w:rPr>
        <w:t>.</w:t>
      </w:r>
    </w:p>
    <w:p>
      <w:pPr>
        <w:pStyle w:val="BodyText"/>
        <w:numPr>
          <w:ilvl w:val="0"/>
          <w:numId w:val="5"/>
        </w:numPr>
        <w:tabs>
          <w:tab w:val="clear" w:pos="709"/>
          <w:tab w:val="left" w:pos="0" w:leader="none"/>
        </w:tabs>
        <w:ind w:hanging="283" w:left="709"/>
        <w:rPr/>
      </w:pPr>
      <w:r>
        <w:rPr>
          <w:rFonts w:ascii="Calibri" w:hAnsi="Calibri"/>
        </w:rPr>
        <w:t xml:space="preserve">UNESCO World Heritage Centre. (n.d.). </w:t>
      </w:r>
      <w:r>
        <w:rPr>
          <w:rStyle w:val="Emphasis"/>
          <w:rFonts w:ascii="Calibri" w:hAnsi="Calibri"/>
        </w:rPr>
        <w:t>Durmitor National Park</w:t>
      </w:r>
      <w:r>
        <w:rPr>
          <w:rFonts w:ascii="Calibri" w:hAnsi="Calibri"/>
        </w:rPr>
        <w:t>. Retrieved from https://whc.unesco.org/</w:t>
      </w:r>
    </w:p>
    <w:p>
      <w:pPr>
        <w:pStyle w:val="BodyText"/>
        <w:numPr>
          <w:ilvl w:val="0"/>
          <w:numId w:val="5"/>
        </w:numPr>
        <w:tabs>
          <w:tab w:val="clear" w:pos="709"/>
          <w:tab w:val="left" w:pos="0" w:leader="none"/>
        </w:tabs>
        <w:ind w:hanging="283" w:left="709"/>
        <w:rPr>
          <w:rFonts w:ascii="Calibri" w:hAnsi="Calibri"/>
        </w:rPr>
      </w:pPr>
      <w:r>
        <w:rPr>
          <w:rFonts w:ascii="Calibri" w:hAnsi="Calibri"/>
        </w:rPr>
        <w:t>Nacionalni parkovi Crne Gore – zvanična web stranica: https://nparkovi.me/</w:t>
      </w:r>
    </w:p>
    <w:p>
      <w:pPr>
        <w:pStyle w:val="BodyText"/>
        <w:numPr>
          <w:ilvl w:val="0"/>
          <w:numId w:val="5"/>
        </w:numPr>
        <w:tabs>
          <w:tab w:val="clear" w:pos="709"/>
          <w:tab w:val="left" w:pos="0" w:leader="none"/>
        </w:tabs>
        <w:ind w:hanging="283" w:left="709"/>
        <w:rPr>
          <w:rFonts w:ascii="Calibri" w:hAnsi="Calibri"/>
        </w:rPr>
      </w:pPr>
      <w:r>
        <w:rPr>
          <w:rFonts w:ascii="Calibri" w:hAnsi="Calibri"/>
        </w:rPr>
        <w:t>Turistička organizacija Crne Gore – https://montenegro.travel</w:t>
      </w:r>
    </w:p>
    <w:p>
      <w:pPr>
        <w:pStyle w:val="BodyText"/>
        <w:numPr>
          <w:ilvl w:val="0"/>
          <w:numId w:val="5"/>
        </w:numPr>
        <w:tabs>
          <w:tab w:val="clear" w:pos="709"/>
          <w:tab w:val="left" w:pos="0" w:leader="none"/>
        </w:tabs>
        <w:ind w:hanging="283" w:left="709"/>
        <w:rPr>
          <w:rFonts w:ascii="Calibri" w:hAnsi="Calibri"/>
          <w:b/>
          <w:bCs/>
          <w:sz w:val="24"/>
          <w:szCs w:val="24"/>
        </w:rPr>
      </w:pPr>
      <w:r>
        <w:rPr>
          <w:rFonts w:ascii="Calibri" w:hAnsi="Calibri"/>
        </w:rPr>
        <w:t xml:space="preserve">Spahić, M. (2007). </w:t>
      </w:r>
      <w:r>
        <w:rPr>
          <w:rStyle w:val="Emphasis"/>
          <w:rFonts w:ascii="Calibri" w:hAnsi="Calibri"/>
        </w:rPr>
        <w:t>Fizička geografija Balkanskog poluostrva</w:t>
      </w:r>
      <w:r>
        <w:rPr>
          <w:rFonts w:ascii="Calibri" w:hAnsi="Calibri"/>
        </w:rPr>
        <w:t>. Sarajevo: Sveučilište u Sarajevu.</w:t>
      </w:r>
    </w:p>
    <w:p>
      <w:pPr>
        <w:pStyle w:val="BodyText"/>
        <w:rPr/>
      </w:pPr>
      <w:r>
        <w:rPr>
          <w:rStyle w:val="Strong"/>
          <w:rFonts w:ascii="Calibri" w:hAnsi="Calibri"/>
          <w:b/>
          <w:bCs/>
          <w:sz w:val="24"/>
          <w:szCs w:val="24"/>
        </w:rPr>
        <w:t xml:space="preserve">      </w:t>
      </w:r>
      <w:r>
        <w:rPr>
          <w:rStyle w:val="Strong"/>
          <w:rFonts w:ascii="Calibri" w:hAnsi="Calibri"/>
          <w:b w:val="false"/>
          <w:bCs w:val="false"/>
          <w:sz w:val="24"/>
          <w:szCs w:val="24"/>
        </w:rPr>
        <w:t>9.</w:t>
      </w:r>
    </w:p>
    <w:p>
      <w:pPr>
        <w:pStyle w:val="BodyText"/>
        <w:rPr>
          <w:rStyle w:val="Strong"/>
        </w:rPr>
      </w:pPr>
      <w:r>
        <w:rPr/>
      </w:r>
    </w:p>
    <w:p>
      <w:pPr>
        <w:pStyle w:val="BodyText"/>
        <w:rPr/>
      </w:pPr>
      <w:r>
        <w:rPr>
          <w:rStyle w:val="Strong"/>
        </w:rPr>
        <w:t xml:space="preserve"> </w:t>
      </w:r>
      <w:r>
        <w:rPr>
          <w:rStyle w:val="Strong"/>
          <w:b w:val="false"/>
          <w:bCs w:val="false"/>
        </w:rPr>
        <w:t xml:space="preserve">   </w:t>
      </w:r>
      <w:r>
        <w:rPr>
          <w:rStyle w:val="Strong"/>
          <w:b w:val="false"/>
          <w:bCs w:val="false"/>
        </w:rPr>
        <w:t>10.</w:t>
      </w:r>
    </w:p>
    <w:p>
      <w:pPr>
        <w:pStyle w:val="BodyText"/>
        <w:rPr/>
      </w:pPr>
      <w:r>
        <w:rPr/>
      </w:r>
    </w:p>
    <w:p>
      <w:pPr>
        <w:pStyle w:val="BodyText"/>
        <w:rPr/>
      </w:pPr>
      <w:bookmarkStart w:id="26" w:name="__RefHeading___Toc2443_1802657202"/>
      <w:bookmarkEnd w:id="26"/>
      <w:r>
        <w:rPr/>
        <w:t xml:space="preserve">    </w:t>
      </w:r>
      <w:r>
        <w:rPr>
          <w:b w:val="false"/>
          <w:bCs w:val="false"/>
        </w:rPr>
        <w:t>11.</w:t>
      </w:r>
    </w:p>
    <w:p>
      <w:pPr>
        <w:pStyle w:val="BodyText"/>
        <w:rPr/>
      </w:pPr>
      <w:r>
        <w:rPr/>
      </w:r>
    </w:p>
    <w:p>
      <w:pPr>
        <w:pStyle w:val="BodyText"/>
        <w:spacing w:before="0" w:after="140"/>
        <w:rPr>
          <w:rFonts w:ascii="Calibri" w:hAnsi="Calibri"/>
        </w:rPr>
      </w:pPr>
      <w:r>
        <w:rPr>
          <w:rFonts w:ascii="Calibri" w:hAnsi="Calibri"/>
        </w:rPr>
      </w:r>
    </w:p>
    <w:sectPr>
      <w:footerReference w:type="even" r:id="rId19"/>
      <w:footerReference w:type="default" r:id="rId20"/>
      <w:footerReference w:type="first" r:id="rId21"/>
      <w:type w:val="nextPage"/>
      <w:pgSz w:w="11906" w:h="16838"/>
      <w:pgMar w:left="1701" w:right="1134" w:gutter="0" w:header="0" w:top="850" w:footer="567" w:bottom="850"/>
      <w:pgNumType w:start="1" w:fmt="decimal"/>
      <w:formProt w:val="false"/>
      <w:titlePg/>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rebuchet MS">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Calibri Light">
    <w:charset w:val="01"/>
    <w:family w:val="roman"/>
    <w:pitch w:val="variable"/>
  </w:font>
  <w:font w:name="Tahoma">
    <w:charset w:val="01"/>
    <w:family w:val="roman"/>
    <w:pitch w:val="variable"/>
  </w:font>
  <w:font w:name="Symbol">
    <w:charset w:val="01"/>
    <w:family w:val="roman"/>
    <w:pitch w:val="variable"/>
  </w:font>
  <w:font w:name="Liberation Sans">
    <w:altName w:val="Arial"/>
    <w:charset w:val="01"/>
    <w:family w:val="roman"/>
    <w:pitch w:val="variable"/>
  </w:font>
  <w:font w:name="Liberation Mono">
    <w:altName w:val="Courier New"/>
    <w:charset w:val="01"/>
    <w:family w:val="roman"/>
    <w:pitch w:val="variable"/>
  </w:font>
  <w:font w:name="Calibri">
    <w:charset w:val="01"/>
    <w:family w:val="roman"/>
    <w:pitch w:val="variable"/>
  </w:font>
  <w:font w:name="Calibri">
    <w:charset w:val="01"/>
    <w:family w:val="swiss"/>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pPr>
    <w:bookmarkStart w:id="27" w:name="PageNumWizard_FOOTER_Converted18_Copy_7"/>
    <w:r>
      <w:rPr/>
      <w:fldChar w:fldCharType="begin"/>
    </w:r>
    <w:r>
      <w:rPr/>
      <w:instrText xml:space="preserve"> PAGE </w:instrText>
    </w:r>
    <w:r>
      <w:rPr/>
      <w:fldChar w:fldCharType="separate"/>
    </w:r>
    <w:r>
      <w:rPr/>
      <w:t>0</w:t>
    </w:r>
    <w:r>
      <w:rPr/>
      <w:fldChar w:fldCharType="end"/>
    </w:r>
    <w:bookmarkEnd w:id="27"/>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pPr>
    <w:bookmarkStart w:id="28" w:name="PageNumWizard_FOOTER_Converted18_Copy_7_"/>
    <w:r>
      <w:rPr/>
      <w:fldChar w:fldCharType="begin"/>
    </w:r>
    <w:r>
      <w:rPr/>
      <w:instrText xml:space="preserve"> PAGE </w:instrText>
    </w:r>
    <w:r>
      <w:rPr/>
      <w:fldChar w:fldCharType="separate"/>
    </w:r>
    <w:r>
      <w:rPr/>
      <w:t>13</w:t>
    </w:r>
    <w:r>
      <w:rPr/>
      <w:fldChar w:fldCharType="end"/>
    </w:r>
    <w:bookmarkEnd w:id="28"/>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pPr>
    <w:bookmarkStart w:id="29" w:name="PageNumWizard_FOOTER_Converted18_Copy_71"/>
    <w:r>
      <w:rPr/>
      <w:fldChar w:fldCharType="begin"/>
    </w:r>
    <w:r>
      <w:rPr/>
      <w:instrText xml:space="preserve"> PAGE </w:instrText>
    </w:r>
    <w:r>
      <w:rPr/>
      <w:fldChar w:fldCharType="separate"/>
    </w:r>
    <w:r>
      <w:rPr/>
      <w:t>1</w:t>
    </w:r>
    <w:r>
      <w:rPr/>
      <w:fldChar w:fldCharType="end"/>
    </w:r>
    <w:bookmarkEnd w:id="29"/>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isplayBackgroundShape/>
  <w:embedSystemFonts/>
  <w:defaultTabStop w:val="709"/>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semiHidden="0" w:unhideWhenUsed="0" w:qFormat="1"/>
    <w:lsdException w:name="List" w:uiPriority="0"/>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Liberation Serif" w:hAnsi="Liberation Serif" w:eastAsia="Noto Sans CJK SC" w:cs="Lohit Devanagari"/>
      <w:color w:val="auto"/>
      <w:kern w:val="2"/>
      <w:sz w:val="24"/>
      <w:szCs w:val="24"/>
      <w:lang w:val="sr-Latn-ME" w:eastAsia="zh-CN" w:bidi="hi-IN"/>
    </w:rPr>
  </w:style>
  <w:style w:type="paragraph" w:styleId="Heading1">
    <w:name w:val="Heading 1"/>
    <w:basedOn w:val="Normal"/>
    <w:link w:val="Heading1Char"/>
    <w:qFormat/>
    <w:pPr>
      <w:ind w:hanging="0" w:left="2322" w:right="2323"/>
      <w:jc w:val="center"/>
      <w:outlineLvl w:val="0"/>
    </w:pPr>
    <w:rPr>
      <w:rFonts w:ascii="Trebuchet MS" w:hAnsi="Trebuchet MS" w:eastAsia="Trebuchet MS" w:cs="Trebuchet MS"/>
      <w:b/>
      <w:bCs/>
      <w:sz w:val="36"/>
      <w:szCs w:val="36"/>
    </w:rPr>
  </w:style>
  <w:style w:type="paragraph" w:styleId="Heading2">
    <w:name w:val="Heading 2"/>
    <w:basedOn w:val="Normal"/>
    <w:qFormat/>
    <w:pPr>
      <w:spacing w:before="1" w:after="0"/>
      <w:ind w:hanging="0" w:left="120"/>
      <w:outlineLvl w:val="1"/>
    </w:pPr>
    <w:rPr>
      <w:rFonts w:ascii="Trebuchet MS" w:hAnsi="Trebuchet MS" w:eastAsia="Trebuchet MS" w:cs="Trebuchet MS"/>
      <w:b/>
      <w:bCs/>
      <w:sz w:val="28"/>
      <w:szCs w:val="32"/>
    </w:rPr>
  </w:style>
  <w:style w:type="paragraph" w:styleId="Heading3">
    <w:name w:val="Heading 3"/>
    <w:basedOn w:val="Heading"/>
    <w:next w:val="BodyText"/>
    <w:qFormat/>
    <w:pPr>
      <w:spacing w:before="140" w:after="120"/>
      <w:outlineLvl w:val="2"/>
    </w:pPr>
    <w:rPr>
      <w:rFonts w:ascii="Liberation Serif" w:hAnsi="Liberation Serif" w:eastAsia="DejaVu Sans" w:cs="DejaVu Sans"/>
      <w:b/>
      <w:bCs/>
      <w:sz w:val="28"/>
      <w:szCs w:val="28"/>
    </w:rPr>
  </w:style>
  <w:style w:type="paragraph" w:styleId="Heading4">
    <w:name w:val="Heading 4"/>
    <w:basedOn w:val="Heading"/>
    <w:next w:val="BodyText"/>
    <w:qFormat/>
    <w:pPr>
      <w:spacing w:before="120" w:after="120"/>
      <w:outlineLvl w:val="3"/>
    </w:pPr>
    <w:rPr>
      <w:rFonts w:ascii="Liberation Serif" w:hAnsi="Liberation Serif" w:eastAsia="DejaVu Sans" w:cs="DejaVu Sans"/>
      <w:b/>
      <w:bCs/>
      <w:sz w:val="24"/>
      <w:szCs w:val="24"/>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e92ecb"/>
    <w:rPr>
      <w:color w:themeColor="hyperlink" w:val="0563C1"/>
      <w:u w:val="single"/>
    </w:rPr>
  </w:style>
  <w:style w:type="character" w:styleId="FollowedHyperlink">
    <w:name w:val="FollowedHyperlink"/>
    <w:basedOn w:val="DefaultParagraphFont"/>
    <w:uiPriority w:val="99"/>
    <w:semiHidden/>
    <w:unhideWhenUsed/>
    <w:qFormat/>
    <w:rsid w:val="0063570b"/>
    <w:rPr>
      <w:color w:themeColor="followedHyperlink" w:val="954F72"/>
      <w:u w:val="single"/>
    </w:rPr>
  </w:style>
  <w:style w:type="character" w:styleId="StrongEmphasis" w:customStyle="1">
    <w:name w:val="Strong Emphasis"/>
    <w:qFormat/>
    <w:rPr>
      <w:b/>
      <w:bCs/>
    </w:rPr>
  </w:style>
  <w:style w:type="character" w:styleId="Bullets" w:customStyle="1">
    <w:name w:val="Bullets"/>
    <w:qFormat/>
    <w:rPr>
      <w:rFonts w:ascii="OpenSymbol" w:hAnsi="OpenSymbol" w:eastAsia="OpenSymbol" w:cs="OpenSymbol"/>
    </w:rPr>
  </w:style>
  <w:style w:type="character" w:styleId="TitleChar" w:customStyle="1">
    <w:name w:val="Title Char"/>
    <w:basedOn w:val="DefaultParagraphFont"/>
    <w:link w:val="Title"/>
    <w:uiPriority w:val="10"/>
    <w:qFormat/>
    <w:rsid w:val="00b749eb"/>
    <w:rPr>
      <w:rFonts w:ascii="Calibri Light" w:hAnsi="Calibri Light" w:eastAsia="" w:cs="Mangal" w:asciiTheme="majorHAnsi" w:eastAsiaTheme="majorEastAsia" w:hAnsiTheme="majorHAnsi"/>
      <w:spacing w:val="-10"/>
      <w:kern w:val="2"/>
      <w:sz w:val="56"/>
      <w:szCs w:val="50"/>
      <w:lang w:eastAsia="zh-CN" w:bidi="hi-IN"/>
    </w:rPr>
  </w:style>
  <w:style w:type="character" w:styleId="Heading1Char" w:customStyle="1">
    <w:name w:val="Heading 1 Char"/>
    <w:basedOn w:val="DefaultParagraphFont"/>
    <w:link w:val="Heading1"/>
    <w:qFormat/>
    <w:rsid w:val="00cd5304"/>
    <w:rPr>
      <w:rFonts w:ascii="Trebuchet MS" w:hAnsi="Trebuchet MS" w:eastAsia="Trebuchet MS" w:cs="Trebuchet MS"/>
      <w:b/>
      <w:bCs/>
      <w:kern w:val="2"/>
      <w:sz w:val="36"/>
      <w:szCs w:val="36"/>
      <w:lang w:eastAsia="zh-CN" w:bidi="hi-IN"/>
    </w:rPr>
  </w:style>
  <w:style w:type="character" w:styleId="Head1Char" w:customStyle="1">
    <w:name w:val="Head1 Char"/>
    <w:basedOn w:val="Heading1Char"/>
    <w:link w:val="Head1"/>
    <w:qFormat/>
    <w:rsid w:val="00cd5304"/>
    <w:rPr>
      <w:rFonts w:ascii="Trebuchet MS" w:hAnsi="Trebuchet MS" w:eastAsia="Trebuchet MS" w:cs="Trebuchet MS"/>
      <w:b/>
      <w:bCs/>
      <w:kern w:val="2"/>
      <w:sz w:val="28"/>
      <w:szCs w:val="28"/>
      <w:lang w:eastAsia="zh-CN" w:bidi="hi-IN"/>
    </w:rPr>
  </w:style>
  <w:style w:type="character" w:styleId="head2Char" w:customStyle="1">
    <w:name w:val="head2 Char"/>
    <w:basedOn w:val="Head1Char"/>
    <w:qFormat/>
    <w:rsid w:val="00cd5304"/>
    <w:rPr>
      <w:rFonts w:ascii="Trebuchet MS" w:hAnsi="Trebuchet MS" w:eastAsia="Trebuchet MS" w:cs="Trebuchet MS"/>
      <w:b/>
      <w:bCs/>
      <w:kern w:val="2"/>
      <w:sz w:val="24"/>
      <w:szCs w:val="28"/>
      <w:lang w:eastAsia="zh-CN" w:bidi="hi-IN"/>
    </w:rPr>
  </w:style>
  <w:style w:type="character" w:styleId="head3Char" w:customStyle="1">
    <w:name w:val="head3 Char"/>
    <w:basedOn w:val="head2Char"/>
    <w:qFormat/>
    <w:rsid w:val="00cd5304"/>
    <w:rPr>
      <w:rFonts w:ascii="Trebuchet MS" w:hAnsi="Trebuchet MS" w:eastAsia="Trebuchet MS" w:cs="Trebuchet MS"/>
      <w:b/>
      <w:bCs/>
      <w:kern w:val="2"/>
      <w:sz w:val="24"/>
      <w:szCs w:val="28"/>
      <w:lang w:eastAsia="zh-CN" w:bidi="hi-IN"/>
    </w:rPr>
  </w:style>
  <w:style w:type="character" w:styleId="HeaderChar" w:customStyle="1">
    <w:name w:val="Header Char"/>
    <w:basedOn w:val="DefaultParagraphFont"/>
    <w:link w:val="Header"/>
    <w:uiPriority w:val="99"/>
    <w:qFormat/>
    <w:rsid w:val="00e47cbe"/>
    <w:rPr>
      <w:rFonts w:ascii="Liberation Serif" w:hAnsi="Liberation Serif" w:eastAsia="Noto Sans CJK SC" w:cs="Mangal"/>
      <w:kern w:val="2"/>
      <w:sz w:val="24"/>
      <w:szCs w:val="21"/>
      <w:lang w:eastAsia="zh-CN" w:bidi="hi-IN"/>
    </w:rPr>
  </w:style>
  <w:style w:type="character" w:styleId="FooterChar" w:customStyle="1">
    <w:name w:val="Footer Char"/>
    <w:basedOn w:val="DefaultParagraphFont"/>
    <w:link w:val="Footer"/>
    <w:uiPriority w:val="99"/>
    <w:qFormat/>
    <w:rsid w:val="00e47cbe"/>
    <w:rPr>
      <w:rFonts w:ascii="Liberation Serif" w:hAnsi="Liberation Serif" w:eastAsia="Noto Sans CJK SC" w:cs="Lohit Devanagari"/>
      <w:kern w:val="2"/>
      <w:sz w:val="24"/>
      <w:szCs w:val="24"/>
      <w:lang w:eastAsia="zh-CN" w:bidi="hi-IN"/>
    </w:rPr>
  </w:style>
  <w:style w:type="character" w:styleId="IndexLink" w:customStyle="1">
    <w:name w:val="Index Link"/>
    <w:qFormat/>
    <w:rsid w:val="0076239e"/>
    <w:rPr/>
  </w:style>
  <w:style w:type="character" w:styleId="epub-state" w:customStyle="1">
    <w:name w:val="epub-state"/>
    <w:basedOn w:val="DefaultParagraphFont"/>
    <w:qFormat/>
    <w:rsid w:val="00c402b5"/>
    <w:rPr/>
  </w:style>
  <w:style w:type="character" w:styleId="epub-date" w:customStyle="1">
    <w:name w:val="epub-date"/>
    <w:basedOn w:val="DefaultParagraphFont"/>
    <w:qFormat/>
    <w:rsid w:val="00c402b5"/>
    <w:rPr/>
  </w:style>
  <w:style w:type="character" w:styleId="head4Char" w:customStyle="1">
    <w:name w:val="head4 Char"/>
    <w:basedOn w:val="head3Char"/>
    <w:qFormat/>
    <w:rsid w:val="00983e7b"/>
    <w:rPr>
      <w:rFonts w:ascii="Trebuchet MS" w:hAnsi="Trebuchet MS" w:eastAsia="Trebuchet MS" w:cs="Trebuchet MS"/>
      <w:b w:val="false"/>
      <w:bCs/>
      <w:i/>
      <w:kern w:val="2"/>
      <w:sz w:val="24"/>
      <w:szCs w:val="28"/>
      <w:lang w:eastAsia="zh-CN" w:bidi="hi-IN"/>
    </w:rPr>
  </w:style>
  <w:style w:type="character" w:styleId="BalloonTextChar" w:customStyle="1">
    <w:name w:val="Balloon Text Char"/>
    <w:basedOn w:val="DefaultParagraphFont"/>
    <w:link w:val="BalloonText"/>
    <w:uiPriority w:val="99"/>
    <w:semiHidden/>
    <w:qFormat/>
    <w:rsid w:val="00ed3f4c"/>
    <w:rPr>
      <w:rFonts w:ascii="Tahoma" w:hAnsi="Tahoma" w:eastAsia="Noto Sans CJK SC" w:cs="Mangal"/>
      <w:kern w:val="2"/>
      <w:sz w:val="16"/>
      <w:szCs w:val="14"/>
      <w:lang w:val="sr-Latn-ME" w:eastAsia="zh-CN" w:bidi="hi-IN"/>
    </w:rPr>
  </w:style>
  <w:style w:type="character" w:styleId="PlaceholderText">
    <w:name w:val="Placeholder Text"/>
    <w:basedOn w:val="DefaultParagraphFont"/>
    <w:uiPriority w:val="99"/>
    <w:semiHidden/>
    <w:qFormat/>
    <w:rsid w:val="00652b26"/>
    <w:rPr>
      <w:color w:val="808080"/>
    </w:rPr>
  </w:style>
  <w:style w:type="character" w:styleId="Emphasis">
    <w:name w:val="Emphasis"/>
    <w:qFormat/>
    <w:rPr>
      <w:i/>
      <w:iCs/>
    </w:rPr>
  </w:style>
  <w:style w:type="character" w:styleId="NumberingSymbols">
    <w:name w:val="Numbering Symbols"/>
    <w:qFormat/>
    <w:rPr/>
  </w:style>
  <w:style w:type="character" w:styleId="WW-StrongEmphasis">
    <w:name w:val="WW-Strong Emphasis"/>
    <w:qFormat/>
    <w:rPr>
      <w:b/>
      <w:bCs/>
    </w:rPr>
  </w:style>
  <w:style w:type="character" w:styleId="WW8Num5z1">
    <w:name w:val="WW8Num5z1"/>
    <w:qFormat/>
    <w:rPr>
      <w:rFonts w:ascii="Symbol" w:hAnsi="Symbol" w:cs="Symbol"/>
    </w:rPr>
  </w:style>
  <w:style w:type="character" w:styleId="Strong">
    <w:name w:val="Strong"/>
    <w:qFormat/>
    <w:rPr>
      <w:b/>
      <w:bCs/>
    </w:rPr>
  </w:style>
  <w:style w:type="paragraph" w:styleId="Heading" w:customStyle="1">
    <w:name w:val="Heading"/>
    <w:basedOn w:val="Normal"/>
    <w:next w:val="BodyText"/>
    <w:qFormat/>
    <w:pPr>
      <w:keepNext w:val="true"/>
      <w:spacing w:before="240" w:after="120"/>
    </w:pPr>
    <w:rPr>
      <w:rFonts w:ascii="Liberation Sans" w:hAnsi="Liberation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rPr>
  </w:style>
  <w:style w:type="paragraph" w:styleId="Index" w:customStyle="1">
    <w:name w:val="Index"/>
    <w:basedOn w:val="Normal"/>
    <w:qFormat/>
    <w:pPr>
      <w:suppressLineNumbers/>
    </w:pPr>
    <w:rPr/>
  </w:style>
  <w:style w:type="paragraph" w:styleId="HeaderandFooter" w:customStyle="1">
    <w:name w:val="Header and Footer"/>
    <w:basedOn w:val="Normal"/>
    <w:qFormat/>
    <w:pPr>
      <w:suppressLineNumbers/>
      <w:tabs>
        <w:tab w:val="clear" w:pos="709"/>
        <w:tab w:val="center" w:pos="4819" w:leader="none"/>
        <w:tab w:val="right" w:pos="9638" w:leader="none"/>
      </w:tabs>
    </w:pPr>
    <w:rPr/>
  </w:style>
  <w:style w:type="paragraph" w:styleId="Footer">
    <w:name w:val="Footer"/>
    <w:basedOn w:val="Normal"/>
    <w:link w:val="FooterChar"/>
    <w:uiPriority w:val="99"/>
    <w:pPr/>
    <w:rPr/>
  </w:style>
  <w:style w:type="paragraph" w:styleId="ListParagraph">
    <w:name w:val="List Paragraph"/>
    <w:basedOn w:val="Normal"/>
    <w:qFormat/>
    <w:pPr>
      <w:spacing w:before="61" w:after="0"/>
      <w:ind w:hanging="428" w:left="547"/>
    </w:pPr>
    <w:rPr/>
  </w:style>
  <w:style w:type="paragraph" w:styleId="Illustration" w:customStyle="1">
    <w:name w:val="Illustration"/>
    <w:basedOn w:val="Caption"/>
    <w:qFormat/>
    <w:pPr/>
    <w:rPr/>
  </w:style>
  <w:style w:type="paragraph" w:styleId="FrameContents" w:customStyle="1">
    <w:name w:val="Frame Contents"/>
    <w:basedOn w:val="Normal"/>
    <w:qFormat/>
    <w:pPr/>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PreformattedText" w:customStyle="1">
    <w:name w:val="Preformatted Text"/>
    <w:basedOn w:val="Normal"/>
    <w:qFormat/>
    <w:pPr/>
    <w:rPr>
      <w:rFonts w:ascii="Liberation Mono" w:hAnsi="Liberation Mono" w:eastAsia="DejaVu Sans Mono" w:cs="Liberation Mono"/>
      <w:sz w:val="20"/>
      <w:szCs w:val="20"/>
    </w:rPr>
  </w:style>
  <w:style w:type="paragraph" w:styleId="Title">
    <w:name w:val="Title"/>
    <w:basedOn w:val="Normal"/>
    <w:next w:val="Normal"/>
    <w:link w:val="TitleChar"/>
    <w:uiPriority w:val="10"/>
    <w:qFormat/>
    <w:rsid w:val="00b749eb"/>
    <w:pPr>
      <w:spacing w:before="0" w:after="0"/>
      <w:contextualSpacing/>
    </w:pPr>
    <w:rPr>
      <w:rFonts w:ascii="Calibri Light" w:hAnsi="Calibri Light" w:eastAsia="" w:cs="Mangal" w:asciiTheme="majorHAnsi" w:eastAsiaTheme="majorEastAsia" w:hAnsiTheme="majorHAnsi"/>
      <w:spacing w:val="-10"/>
      <w:sz w:val="56"/>
      <w:szCs w:val="50"/>
    </w:rPr>
  </w:style>
  <w:style w:type="paragraph" w:styleId="IndexHeading">
    <w:name w:val="Index Heading"/>
    <w:basedOn w:val="Heading"/>
    <w:qFormat/>
    <w:rsid w:val="0076239e"/>
    <w:pPr/>
    <w:rPr/>
  </w:style>
  <w:style w:type="paragraph" w:styleId="TOCHeading">
    <w:name w:val="TOC Heading"/>
    <w:basedOn w:val="Heading1"/>
    <w:next w:val="Normal"/>
    <w:uiPriority w:val="39"/>
    <w:unhideWhenUsed/>
    <w:qFormat/>
    <w:rsid w:val="002e2341"/>
    <w:pPr>
      <w:keepNext w:val="true"/>
      <w:keepLines/>
      <w:suppressAutoHyphens w:val="false"/>
      <w:spacing w:lineRule="auto" w:line="259" w:before="240" w:after="0"/>
      <w:ind w:hanging="0" w:left="0" w:right="0"/>
      <w:jc w:val="left"/>
    </w:pPr>
    <w:rPr>
      <w:rFonts w:ascii="Calibri Light" w:hAnsi="Calibri Light" w:eastAsia="" w:cs="" w:asciiTheme="majorHAnsi" w:cstheme="majorBidi" w:eastAsiaTheme="majorEastAsia" w:hAnsiTheme="majorHAnsi"/>
      <w:b w:val="false"/>
      <w:bCs w:val="false"/>
      <w:color w:themeColor="accent1" w:themeShade="bf" w:val="2E74B5"/>
      <w:kern w:val="0"/>
      <w:sz w:val="32"/>
      <w:szCs w:val="32"/>
      <w:lang w:eastAsia="en-US" w:bidi="ar-SA"/>
    </w:rPr>
  </w:style>
  <w:style w:type="paragraph" w:styleId="TOC2">
    <w:name w:val="TOC 2"/>
    <w:basedOn w:val="Normal"/>
    <w:next w:val="Normal"/>
    <w:autoRedefine/>
    <w:uiPriority w:val="39"/>
    <w:unhideWhenUsed/>
    <w:rsid w:val="002e2341"/>
    <w:pPr>
      <w:spacing w:before="0" w:after="100"/>
      <w:ind w:hanging="0" w:left="240"/>
    </w:pPr>
    <w:rPr>
      <w:rFonts w:cs="Mangal"/>
      <w:szCs w:val="21"/>
    </w:rPr>
  </w:style>
  <w:style w:type="paragraph" w:styleId="TOC1">
    <w:name w:val="TOC 1"/>
    <w:basedOn w:val="Normal"/>
    <w:next w:val="Normal"/>
    <w:autoRedefine/>
    <w:uiPriority w:val="39"/>
    <w:unhideWhenUsed/>
    <w:rsid w:val="002e2341"/>
    <w:pPr>
      <w:suppressAutoHyphens w:val="false"/>
      <w:spacing w:lineRule="auto" w:line="259" w:before="0" w:after="100"/>
    </w:pPr>
    <w:rPr>
      <w:rFonts w:ascii="Calibri" w:hAnsi="Calibri" w:eastAsia="" w:cs="Times New Roman" w:asciiTheme="minorHAnsi" w:eastAsiaTheme="minorEastAsia" w:hAnsiTheme="minorHAnsi"/>
      <w:kern w:val="0"/>
      <w:sz w:val="22"/>
      <w:szCs w:val="22"/>
      <w:lang w:eastAsia="en-US" w:bidi="ar-SA"/>
    </w:rPr>
  </w:style>
  <w:style w:type="paragraph" w:styleId="TOC3">
    <w:name w:val="TOC 3"/>
    <w:basedOn w:val="Normal"/>
    <w:next w:val="Normal"/>
    <w:autoRedefine/>
    <w:uiPriority w:val="39"/>
    <w:unhideWhenUsed/>
    <w:rsid w:val="002e2341"/>
    <w:pPr>
      <w:suppressAutoHyphens w:val="false"/>
      <w:spacing w:lineRule="auto" w:line="259" w:before="0" w:after="100"/>
      <w:ind w:hanging="0" w:left="440"/>
    </w:pPr>
    <w:rPr>
      <w:rFonts w:ascii="Calibri" w:hAnsi="Calibri" w:eastAsia="" w:cs="Times New Roman" w:asciiTheme="minorHAnsi" w:eastAsiaTheme="minorEastAsia" w:hAnsiTheme="minorHAnsi"/>
      <w:kern w:val="0"/>
      <w:sz w:val="22"/>
      <w:szCs w:val="22"/>
      <w:lang w:eastAsia="en-US" w:bidi="ar-SA"/>
    </w:rPr>
  </w:style>
  <w:style w:type="paragraph" w:styleId="Head1" w:customStyle="1">
    <w:name w:val="Head1"/>
    <w:basedOn w:val="Heading1"/>
    <w:link w:val="Head1Char"/>
    <w:qFormat/>
    <w:rsid w:val="00cd5304"/>
    <w:pPr>
      <w:ind w:hanging="0" w:left="0" w:right="2323"/>
      <w:jc w:val="both"/>
    </w:pPr>
    <w:rPr>
      <w:rFonts w:ascii="Times New Roman" w:hAnsi="Times New Roman" w:cs="Times New Roman"/>
      <w:sz w:val="28"/>
      <w:szCs w:val="28"/>
    </w:rPr>
  </w:style>
  <w:style w:type="paragraph" w:styleId="head2" w:customStyle="1">
    <w:name w:val="head2"/>
    <w:basedOn w:val="Head1"/>
    <w:qFormat/>
    <w:rsid w:val="00cd5304"/>
    <w:pPr/>
    <w:rPr>
      <w:sz w:val="24"/>
    </w:rPr>
  </w:style>
  <w:style w:type="paragraph" w:styleId="head3" w:customStyle="1">
    <w:name w:val="head3"/>
    <w:basedOn w:val="head2"/>
    <w:qFormat/>
    <w:rsid w:val="00cd5304"/>
    <w:pPr/>
    <w:rPr/>
  </w:style>
  <w:style w:type="paragraph" w:styleId="Header">
    <w:name w:val="Header"/>
    <w:basedOn w:val="Normal"/>
    <w:link w:val="HeaderChar"/>
    <w:uiPriority w:val="99"/>
    <w:unhideWhenUsed/>
    <w:rsid w:val="00e47cbe"/>
    <w:pPr>
      <w:tabs>
        <w:tab w:val="clear" w:pos="709"/>
        <w:tab w:val="center" w:pos="4680" w:leader="none"/>
        <w:tab w:val="right" w:pos="9360" w:leader="none"/>
      </w:tabs>
    </w:pPr>
    <w:rPr>
      <w:rFonts w:cs="Mangal"/>
      <w:szCs w:val="21"/>
    </w:rPr>
  </w:style>
  <w:style w:type="paragraph" w:styleId="Index1">
    <w:name w:val="Index 1"/>
    <w:basedOn w:val="Normal"/>
    <w:next w:val="Normal"/>
    <w:autoRedefine/>
    <w:uiPriority w:val="99"/>
    <w:semiHidden/>
    <w:unhideWhenUsed/>
    <w:qFormat/>
    <w:rsid w:val="0076239e"/>
    <w:pPr>
      <w:ind w:hanging="240" w:left="240"/>
    </w:pPr>
    <w:rPr>
      <w:rFonts w:cs="Mangal"/>
      <w:szCs w:val="21"/>
    </w:rPr>
  </w:style>
  <w:style w:type="paragraph" w:styleId="head4" w:customStyle="1">
    <w:name w:val="head4"/>
    <w:basedOn w:val="head3"/>
    <w:qFormat/>
    <w:rsid w:val="00983e7b"/>
    <w:pPr/>
    <w:rPr>
      <w:b w:val="false"/>
      <w:i/>
    </w:rPr>
  </w:style>
  <w:style w:type="paragraph" w:styleId="BalloonText">
    <w:name w:val="Balloon Text"/>
    <w:basedOn w:val="Normal"/>
    <w:link w:val="BalloonTextChar"/>
    <w:uiPriority w:val="99"/>
    <w:semiHidden/>
    <w:unhideWhenUsed/>
    <w:qFormat/>
    <w:rsid w:val="00ed3f4c"/>
    <w:pPr/>
    <w:rPr>
      <w:rFonts w:ascii="Tahoma" w:hAnsi="Tahoma" w:cs="Mangal"/>
      <w:sz w:val="16"/>
      <w:szCs w:val="14"/>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 w:type="numbering" w:styleId="NoList" w:default="1">
    <w:name w:val="No List"/>
    <w:uiPriority w:val="99"/>
    <w:semiHidden/>
    <w:unhideWhenUsed/>
    <w:qFormat/>
  </w:style>
  <w:style w:type="numbering" w:styleId="WW8Num4">
    <w:name w:val="WW8Num4"/>
    <w:qFormat/>
  </w:style>
  <w:style w:type="numbering" w:styleId="WW8Num5">
    <w:name w:val="WW8Num5"/>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s://sh.wikipedia.org/wiki/Planinski_venac" TargetMode="External"/><Relationship Id="rId10" Type="http://schemas.openxmlformats.org/officeDocument/2006/relationships/hyperlink" Target="https://sh.wikipedia.org/wiki/Dinaridi" TargetMode="External"/><Relationship Id="rId11" Type="http://schemas.openxmlformats.org/officeDocument/2006/relationships/hyperlink" Target="https://sh.wikipedia.org/wiki/Jovan_Cviji&#263;" TargetMode="External"/><Relationship Id="rId12" Type="http://schemas.openxmlformats.org/officeDocument/2006/relationships/hyperlink" Target="https://sh.wikipedia.org/wiki/Dinarske_planine" TargetMode="External"/><Relationship Id="rId13" Type="http://schemas.openxmlformats.org/officeDocument/2006/relationships/image" Target="media/image5.jpeg"/><Relationship Id="rId14" Type="http://schemas.openxmlformats.org/officeDocument/2006/relationships/hyperlink" Target="https://sh.wikipedia.org/wiki/Kre&#269;njak" TargetMode="External"/><Relationship Id="rId15" Type="http://schemas.openxmlformats.org/officeDocument/2006/relationships/hyperlink" Target="https://sh.wikipedia.org/wiki/Reljef" TargetMode="External"/><Relationship Id="rId16" Type="http://schemas.openxmlformats.org/officeDocument/2006/relationships/hyperlink" Target="https://sr.wikipedia.org/wiki/&#1062;&#1088;&#1085;&#1072;_&#1043;&#1086;&#1088;&#1072;" TargetMode="External"/><Relationship Id="rId17" Type="http://schemas.openxmlformats.org/officeDocument/2006/relationships/hyperlink" Target="https://sr.wikipedia.org/wiki/&#1055;&#1088;&#1086;&#1082;&#1083;&#1077;&#1090;&#1080;&#1112;&#1077;" TargetMode="External"/><Relationship Id="rId18" Type="http://schemas.openxmlformats.org/officeDocument/2006/relationships/hyperlink" Target="https://sr.wikipedia.org/wiki/&#1055;&#1083;&#1072;&#1074;" TargetMode="Externa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B1E15-FD6F-40B4-A055-D190640EC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Application>LibreOffice/24.2.7.2$Linux_X86_64 LibreOffice_project/420$Build-2</Application>
  <AppVersion>15.0000</AppVersion>
  <Pages>16</Pages>
  <Words>2040</Words>
  <Characters>12740</Characters>
  <CharactersWithSpaces>14979</CharactersWithSpaces>
  <Paragraphs>142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2024-09-23T19:02:00Z</dcterms:created>
  <dc:creator>hp</dc:creator>
  <dc:description/>
  <dc:language>en-US</dc:language>
  <cp:lastModifiedBy>Angel Marčev</cp:lastModifiedBy>
  <cp:lastPrinted>2025-04-09T11:42:01Z</cp:lastPrinted>
  <dcterms:modified xsi:type="dcterms:W3CDTF">2025-04-17T08:31:24Z</dcterms:modified>
  <cp:revision>67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